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0AC4" w14:textId="08E6E872" w:rsidR="003A7C12" w:rsidRPr="003303CA" w:rsidRDefault="00C1749B" w:rsidP="004C372C">
      <w:pPr>
        <w:pStyle w:val="Heading11"/>
        <w:tabs>
          <w:tab w:val="left" w:pos="8768"/>
          <w:tab w:val="left" w:pos="9923"/>
        </w:tabs>
        <w:spacing w:before="70"/>
        <w:ind w:left="6237" w:right="-1"/>
        <w:rPr>
          <w:b w:val="0"/>
          <w:sz w:val="20"/>
          <w:szCs w:val="20"/>
          <w:lang w:val="uk-UA"/>
        </w:rPr>
      </w:pPr>
      <w:r w:rsidRPr="003303CA">
        <w:rPr>
          <w:b w:val="0"/>
          <w:spacing w:val="-3"/>
          <w:sz w:val="20"/>
          <w:szCs w:val="20"/>
          <w:lang w:val="uk-UA"/>
        </w:rPr>
        <w:t>Додаток</w:t>
      </w:r>
      <w:r w:rsidRPr="003303CA">
        <w:rPr>
          <w:b w:val="0"/>
          <w:sz w:val="20"/>
          <w:szCs w:val="20"/>
          <w:lang w:val="uk-UA"/>
        </w:rPr>
        <w:t xml:space="preserve"> №2 до </w:t>
      </w:r>
      <w:r w:rsidRPr="003303CA">
        <w:rPr>
          <w:b w:val="0"/>
          <w:spacing w:val="-3"/>
          <w:sz w:val="20"/>
          <w:szCs w:val="20"/>
          <w:lang w:val="uk-UA"/>
        </w:rPr>
        <w:t>договору</w:t>
      </w:r>
      <w:r w:rsidRPr="003303CA">
        <w:rPr>
          <w:b w:val="0"/>
          <w:spacing w:val="-8"/>
          <w:sz w:val="20"/>
          <w:szCs w:val="20"/>
          <w:lang w:val="uk-UA"/>
        </w:rPr>
        <w:t xml:space="preserve"> </w:t>
      </w:r>
      <w:r w:rsidRPr="003303CA">
        <w:rPr>
          <w:b w:val="0"/>
          <w:sz w:val="20"/>
          <w:szCs w:val="20"/>
          <w:lang w:val="uk-UA"/>
        </w:rPr>
        <w:t>про</w:t>
      </w:r>
      <w:r w:rsidRPr="003303CA">
        <w:rPr>
          <w:b w:val="0"/>
          <w:spacing w:val="-3"/>
          <w:sz w:val="20"/>
          <w:szCs w:val="20"/>
          <w:lang w:val="uk-UA"/>
        </w:rPr>
        <w:t xml:space="preserve"> </w:t>
      </w:r>
      <w:r w:rsidRPr="003303CA">
        <w:rPr>
          <w:b w:val="0"/>
          <w:sz w:val="20"/>
          <w:szCs w:val="20"/>
          <w:lang w:val="uk-UA"/>
        </w:rPr>
        <w:t xml:space="preserve">постачання </w:t>
      </w:r>
      <w:r w:rsidR="00AC07FD" w:rsidRPr="003303CA">
        <w:rPr>
          <w:b w:val="0"/>
          <w:sz w:val="20"/>
          <w:szCs w:val="20"/>
          <w:lang w:val="uk-UA"/>
        </w:rPr>
        <w:t>е</w:t>
      </w:r>
      <w:r w:rsidRPr="003303CA">
        <w:rPr>
          <w:b w:val="0"/>
          <w:sz w:val="20"/>
          <w:szCs w:val="20"/>
          <w:lang w:val="uk-UA"/>
        </w:rPr>
        <w:t>лектричної енергії</w:t>
      </w:r>
      <w:r w:rsidRPr="003303CA">
        <w:rPr>
          <w:b w:val="0"/>
          <w:spacing w:val="-1"/>
          <w:sz w:val="20"/>
          <w:szCs w:val="20"/>
          <w:lang w:val="uk-UA"/>
        </w:rPr>
        <w:t xml:space="preserve"> </w:t>
      </w:r>
      <w:r w:rsidRPr="003303CA">
        <w:rPr>
          <w:b w:val="0"/>
          <w:spacing w:val="-3"/>
          <w:sz w:val="20"/>
          <w:szCs w:val="20"/>
          <w:lang w:val="uk-UA"/>
        </w:rPr>
        <w:t>споживачу</w:t>
      </w:r>
      <w:r w:rsidRPr="003303CA">
        <w:rPr>
          <w:b w:val="0"/>
          <w:sz w:val="20"/>
          <w:szCs w:val="20"/>
          <w:lang w:val="uk-UA"/>
        </w:rPr>
        <w:t xml:space="preserve"> № </w:t>
      </w:r>
      <w:r w:rsidR="003A7C12" w:rsidRPr="003303CA">
        <w:rPr>
          <w:b w:val="0"/>
          <w:sz w:val="20"/>
          <w:szCs w:val="20"/>
          <w:lang w:val="uk-UA"/>
        </w:rPr>
        <w:t>________</w:t>
      </w:r>
      <w:r w:rsidR="00AC07FD" w:rsidRPr="003303CA">
        <w:rPr>
          <w:b w:val="0"/>
          <w:sz w:val="20"/>
          <w:szCs w:val="20"/>
          <w:lang w:val="uk-UA"/>
        </w:rPr>
        <w:t xml:space="preserve"> від ______________</w:t>
      </w:r>
      <w:r w:rsidRPr="003303CA">
        <w:rPr>
          <w:b w:val="0"/>
          <w:sz w:val="20"/>
          <w:szCs w:val="20"/>
          <w:lang w:val="uk-UA"/>
        </w:rPr>
        <w:t xml:space="preserve"> </w:t>
      </w:r>
      <w:r w:rsidR="00AC07FD" w:rsidRPr="003303CA">
        <w:rPr>
          <w:b w:val="0"/>
          <w:sz w:val="20"/>
          <w:szCs w:val="20"/>
          <w:lang w:val="uk-UA"/>
        </w:rPr>
        <w:t>21 року</w:t>
      </w:r>
    </w:p>
    <w:p w14:paraId="6116B414" w14:textId="77777777" w:rsidR="002039E9" w:rsidRPr="003303CA" w:rsidRDefault="002039E9" w:rsidP="004C372C">
      <w:pPr>
        <w:pStyle w:val="a3"/>
        <w:ind w:right="-1"/>
        <w:rPr>
          <w:rFonts w:ascii="Times New Roman" w:hAnsi="Times New Roman"/>
          <w:sz w:val="24"/>
          <w:szCs w:val="24"/>
        </w:rPr>
      </w:pPr>
      <w:r w:rsidRPr="003303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3F0749EB" w14:textId="309C44E1" w:rsidR="00C1749B" w:rsidRPr="003303CA" w:rsidRDefault="00C1749B" w:rsidP="004C372C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303CA">
        <w:rPr>
          <w:rFonts w:ascii="Times New Roman" w:hAnsi="Times New Roman"/>
          <w:b/>
          <w:sz w:val="24"/>
          <w:szCs w:val="24"/>
        </w:rPr>
        <w:t>КОМЕРЦІЙНА ПРОПОЗИЦІЯ</w:t>
      </w:r>
      <w:r w:rsidR="005B7840">
        <w:rPr>
          <w:rFonts w:ascii="Times New Roman" w:hAnsi="Times New Roman"/>
          <w:b/>
          <w:sz w:val="24"/>
          <w:szCs w:val="24"/>
        </w:rPr>
        <w:t xml:space="preserve"> </w:t>
      </w:r>
    </w:p>
    <w:p w14:paraId="15AB905E" w14:textId="77777777" w:rsidR="00C1749B" w:rsidRPr="003303CA" w:rsidRDefault="00C1749B" w:rsidP="004C372C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303CA">
        <w:rPr>
          <w:rFonts w:ascii="Times New Roman" w:hAnsi="Times New Roman"/>
          <w:b/>
          <w:sz w:val="24"/>
          <w:szCs w:val="24"/>
        </w:rPr>
        <w:t>до договору про постачання електричної енергії споживачу</w:t>
      </w:r>
    </w:p>
    <w:p w14:paraId="77FC469A" w14:textId="77777777" w:rsidR="003E1884" w:rsidRPr="003303CA" w:rsidRDefault="003E1884" w:rsidP="004C372C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9B8D40D" w14:textId="77777777" w:rsidR="003E1884" w:rsidRPr="00CD7BF9" w:rsidRDefault="003E1884" w:rsidP="003E1884">
      <w:pPr>
        <w:pStyle w:val="a3"/>
        <w:ind w:right="-1"/>
        <w:rPr>
          <w:rStyle w:val="fontstyle01"/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3303CA">
        <w:rPr>
          <w:rStyle w:val="fontstyle01"/>
          <w:rFonts w:ascii="Times New Roman" w:hAnsi="Times New Roman"/>
          <w:color w:val="000000"/>
          <w:sz w:val="24"/>
          <w:szCs w:val="24"/>
        </w:rPr>
        <w:t xml:space="preserve">Постачальник: </w:t>
      </w:r>
      <w:r w:rsidRPr="00CD7BF9">
        <w:rPr>
          <w:rStyle w:val="fontstyle01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ТОВАРИСТВО З ОБМЕЖЕНОЮ ВІДПОВІДАЛЬНІСТЮ </w:t>
      </w:r>
    </w:p>
    <w:p w14:paraId="166ED1CA" w14:textId="62ABC09A" w:rsidR="003E1884" w:rsidRPr="00CD7BF9" w:rsidRDefault="003E1884" w:rsidP="003E1884">
      <w:pPr>
        <w:ind w:right="-1"/>
        <w:rPr>
          <w:rStyle w:val="fontstyle01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lang w:val="uk-UA"/>
        </w:rPr>
      </w:pPr>
      <w:r w:rsidRPr="00CD7BF9">
        <w:rPr>
          <w:rStyle w:val="fontstyle01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lang w:val="uk-UA"/>
        </w:rPr>
        <w:t xml:space="preserve">«СОЛІПАУЕР» (код ЄДРПОУ </w:t>
      </w:r>
      <w:r w:rsidRPr="00CD7BF9">
        <w:rPr>
          <w:rStyle w:val="fontstyle01"/>
          <w:rFonts w:ascii="Times New Roman" w:hAnsi="Times New Roman" w:cs="Times New Roman"/>
          <w:b w:val="0"/>
          <w:bCs w:val="0"/>
          <w:color w:val="000000"/>
          <w:sz w:val="22"/>
          <w:szCs w:val="22"/>
          <w:lang w:val="uk-UA"/>
        </w:rPr>
        <w:t>44382156</w:t>
      </w:r>
      <w:r w:rsidRPr="00CD7BF9">
        <w:rPr>
          <w:rStyle w:val="fontstyle01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lang w:val="uk-UA"/>
        </w:rPr>
        <w:t>)</w:t>
      </w:r>
    </w:p>
    <w:p w14:paraId="5B59D899" w14:textId="6328D321" w:rsidR="003E1884" w:rsidRPr="003303CA" w:rsidRDefault="003E1884" w:rsidP="003E1884">
      <w:pPr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3303CA">
        <w:rPr>
          <w:rStyle w:val="fontstyle01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Споживач: </w:t>
      </w:r>
      <w:r w:rsidRPr="003303CA">
        <w:rPr>
          <w:rStyle w:val="fontstyle21"/>
          <w:rFonts w:ascii="Times New Roman" w:hAnsi="Times New Roman" w:cs="Times New Roman"/>
          <w:b/>
          <w:color w:val="000000"/>
          <w:sz w:val="24"/>
          <w:szCs w:val="24"/>
          <w:lang w:val="uk-UA"/>
        </w:rPr>
        <w:t>_____________________________«___________» (</w:t>
      </w:r>
      <w:r w:rsidRPr="003303CA">
        <w:rPr>
          <w:rStyle w:val="fontstyle01"/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код ЄДРПОУ _______)</w:t>
      </w:r>
    </w:p>
    <w:p w14:paraId="55053044" w14:textId="7D094D33" w:rsidR="004C45ED" w:rsidRPr="003303CA" w:rsidRDefault="0063498B" w:rsidP="004C372C">
      <w:pPr>
        <w:pStyle w:val="a8"/>
        <w:ind w:right="-1"/>
        <w:rPr>
          <w:rStyle w:val="fontstyle21"/>
          <w:rFonts w:ascii="Times New Roman" w:hAnsi="Times New Roman" w:cs="Times New Roman"/>
          <w:color w:val="000000"/>
          <w:sz w:val="20"/>
          <w:szCs w:val="20"/>
        </w:rPr>
      </w:pPr>
      <w:r w:rsidRPr="003303CA">
        <w:rPr>
          <w:rStyle w:val="fontstyle21"/>
          <w:rFonts w:ascii="Times New Roman" w:hAnsi="Times New Roman" w:cs="Times New Roman"/>
          <w:color w:val="000000"/>
          <w:sz w:val="20"/>
          <w:szCs w:val="20"/>
        </w:rPr>
        <w:t xml:space="preserve">Дана комерційна пропозиція розроблена відповідно до норм Закону України «Про ринок електричної енергії»,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послуг, від 14.03.2018 №312 (далі – </w:t>
      </w:r>
      <w:r w:rsidR="00953E07" w:rsidRPr="003303CA">
        <w:rPr>
          <w:rStyle w:val="fontstyle21"/>
          <w:rFonts w:ascii="Times New Roman" w:hAnsi="Times New Roman" w:cs="Times New Roman"/>
          <w:color w:val="000000"/>
          <w:sz w:val="20"/>
          <w:szCs w:val="20"/>
        </w:rPr>
        <w:t>Правила роздрібного ринку),</w:t>
      </w:r>
      <w:r w:rsidR="005C58B4" w:rsidRPr="003303CA">
        <w:rPr>
          <w:rStyle w:val="fontstyle21"/>
          <w:rFonts w:ascii="Times New Roman" w:hAnsi="Times New Roman" w:cs="Times New Roman"/>
          <w:color w:val="000000"/>
          <w:sz w:val="20"/>
          <w:szCs w:val="20"/>
        </w:rPr>
        <w:t xml:space="preserve"> інших нормативно-правових актів</w:t>
      </w:r>
      <w:r w:rsidR="003E1884" w:rsidRPr="003303CA">
        <w:rPr>
          <w:rStyle w:val="fontstyle21"/>
          <w:rFonts w:ascii="Times New Roman" w:hAnsi="Times New Roman" w:cs="Times New Roman"/>
          <w:color w:val="000000"/>
          <w:sz w:val="20"/>
          <w:szCs w:val="20"/>
        </w:rPr>
        <w:t>.</w:t>
      </w:r>
      <w:r w:rsidR="005C58B4" w:rsidRPr="003303CA">
        <w:rPr>
          <w:rStyle w:val="fontstyle21"/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319773F" w14:textId="33AD8B8E" w:rsidR="0063498B" w:rsidRPr="003303CA" w:rsidRDefault="0063498B" w:rsidP="004C372C">
      <w:pPr>
        <w:ind w:right="-1"/>
        <w:jc w:val="both"/>
        <w:rPr>
          <w:rStyle w:val="fontstyle2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03CA">
        <w:rPr>
          <w:rStyle w:val="fontstyle21"/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Предмет комерційної пропозиції:</w:t>
      </w:r>
      <w:r w:rsidR="00953E07" w:rsidRPr="003303CA">
        <w:rPr>
          <w:rStyle w:val="fontstyle21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</w:t>
      </w:r>
      <w:r w:rsidRPr="003303CA">
        <w:rPr>
          <w:rStyle w:val="fontstyle21"/>
          <w:rFonts w:ascii="Times New Roman" w:hAnsi="Times New Roman" w:cs="Times New Roman"/>
          <w:color w:val="000000"/>
          <w:sz w:val="24"/>
          <w:szCs w:val="24"/>
          <w:lang w:val="uk-UA"/>
        </w:rPr>
        <w:t>остачання електричної енергії</w:t>
      </w:r>
      <w:r w:rsidR="00C62E84" w:rsidRPr="003303CA">
        <w:rPr>
          <w:rStyle w:val="fontstyle21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03CA">
        <w:rPr>
          <w:rStyle w:val="fontstyle21"/>
          <w:rFonts w:ascii="Times New Roman" w:hAnsi="Times New Roman" w:cs="Times New Roman"/>
          <w:color w:val="000000"/>
          <w:sz w:val="24"/>
          <w:szCs w:val="24"/>
          <w:lang w:val="uk-UA"/>
        </w:rPr>
        <w:t>споживачу</w:t>
      </w:r>
    </w:p>
    <w:p w14:paraId="6E8013C5" w14:textId="3F7BF74D" w:rsidR="00AB6A74" w:rsidRPr="003303CA" w:rsidRDefault="008611F7" w:rsidP="00D140B5">
      <w:pPr>
        <w:ind w:right="-1"/>
        <w:jc w:val="both"/>
        <w:rPr>
          <w:rStyle w:val="fontstyle21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03CA">
        <w:rPr>
          <w:rStyle w:val="fontstyle21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Комерційна пропозиція </w:t>
      </w:r>
      <w:r w:rsidR="009101C4" w:rsidRPr="003303CA">
        <w:rPr>
          <w:rStyle w:val="fontstyle21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пропонується на </w:t>
      </w:r>
      <w:r w:rsidRPr="003303CA">
        <w:rPr>
          <w:rStyle w:val="fontstyle21"/>
          <w:rFonts w:ascii="Times New Roman" w:hAnsi="Times New Roman" w:cs="Times New Roman"/>
          <w:color w:val="000000"/>
          <w:sz w:val="24"/>
          <w:szCs w:val="24"/>
          <w:lang w:val="uk-UA"/>
        </w:rPr>
        <w:t>території здійснення діяльності оператора системи</w:t>
      </w:r>
      <w:r w:rsidR="009101C4" w:rsidRPr="003303CA">
        <w:rPr>
          <w:rStyle w:val="fontstyle21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______________________________________________</w:t>
      </w:r>
      <w:bookmarkStart w:id="0" w:name="n2429"/>
      <w:bookmarkStart w:id="1" w:name="n2431"/>
      <w:bookmarkStart w:id="2" w:name="n2432"/>
      <w:bookmarkStart w:id="3" w:name="n2433"/>
      <w:bookmarkStart w:id="4" w:name="n2434"/>
      <w:bookmarkStart w:id="5" w:name="n2436"/>
      <w:bookmarkStart w:id="6" w:name="n2437"/>
      <w:bookmarkStart w:id="7" w:name="n2440"/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7654"/>
      </w:tblGrid>
      <w:tr w:rsidR="0063498B" w:rsidRPr="003303CA" w14:paraId="00DC6F66" w14:textId="77777777" w:rsidTr="00D140B5">
        <w:trPr>
          <w:jc w:val="center"/>
        </w:trPr>
        <w:tc>
          <w:tcPr>
            <w:tcW w:w="2122" w:type="dxa"/>
            <w:vAlign w:val="center"/>
          </w:tcPr>
          <w:p w14:paraId="43007DDC" w14:textId="10061A1A" w:rsidR="0063498B" w:rsidRPr="003303CA" w:rsidRDefault="00F469C1" w:rsidP="004C372C">
            <w:pPr>
              <w:pStyle w:val="a3"/>
              <w:ind w:right="-1"/>
              <w:rPr>
                <w:rStyle w:val="fontstyle2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03CA">
              <w:rPr>
                <w:rStyle w:val="fontstyle2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</w:t>
            </w:r>
            <w:r w:rsidR="007D502C" w:rsidRPr="003303CA">
              <w:rPr>
                <w:rStyle w:val="fontstyle2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7654" w:type="dxa"/>
            <w:vAlign w:val="center"/>
          </w:tcPr>
          <w:p w14:paraId="04E92FD3" w14:textId="7AA86AFA" w:rsidR="0063498B" w:rsidRPr="003303CA" w:rsidRDefault="007D502C" w:rsidP="004C372C">
            <w:pPr>
              <w:pStyle w:val="a3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3CA">
              <w:rPr>
                <w:rFonts w:ascii="Times New Roman" w:hAnsi="Times New Roman"/>
                <w:b/>
                <w:bCs/>
                <w:sz w:val="24"/>
                <w:szCs w:val="24"/>
              </w:rPr>
              <w:t>Пропозиція</w:t>
            </w:r>
          </w:p>
        </w:tc>
      </w:tr>
      <w:tr w:rsidR="005702C1" w:rsidRPr="003303CA" w14:paraId="580C797A" w14:textId="77777777" w:rsidTr="00D140B5">
        <w:trPr>
          <w:jc w:val="center"/>
        </w:trPr>
        <w:tc>
          <w:tcPr>
            <w:tcW w:w="2122" w:type="dxa"/>
            <w:vAlign w:val="center"/>
          </w:tcPr>
          <w:p w14:paraId="499CB7FE" w14:textId="74792F55" w:rsidR="00C75CA9" w:rsidRPr="003303CA" w:rsidRDefault="00646478" w:rsidP="001A68F0">
            <w:pPr>
              <w:pStyle w:val="a3"/>
              <w:numPr>
                <w:ilvl w:val="0"/>
                <w:numId w:val="17"/>
              </w:numPr>
              <w:ind w:left="0" w:right="-1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03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</w:t>
            </w:r>
            <w:r w:rsidR="00C75CA9" w:rsidRPr="003303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ін</w:t>
            </w:r>
            <w:r w:rsidRPr="003303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="00C75CA9" w:rsidRPr="003303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електричну енергію</w:t>
            </w:r>
          </w:p>
          <w:p w14:paraId="5AC13A3B" w14:textId="77777777" w:rsidR="00646478" w:rsidRPr="003303CA" w:rsidRDefault="00646478" w:rsidP="004C372C">
            <w:pPr>
              <w:pStyle w:val="a3"/>
              <w:ind w:right="-1"/>
              <w:rPr>
                <w:rStyle w:val="fontstyle2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347DF9" w14:textId="41E3CEE3" w:rsidR="005702C1" w:rsidRPr="003303CA" w:rsidRDefault="005702C1" w:rsidP="004C372C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0BD17A20" w14:textId="7B8BBA16" w:rsidR="00401BE0" w:rsidRPr="003303CA" w:rsidRDefault="0063739A" w:rsidP="004C372C">
            <w:pPr>
              <w:pStyle w:val="a3"/>
              <w:ind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3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</w:t>
            </w:r>
            <w:r w:rsidR="00401BE0" w:rsidRPr="003303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іна електричн</w:t>
            </w:r>
            <w:r w:rsidR="00154516" w:rsidRPr="003303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ої</w:t>
            </w:r>
            <w:r w:rsidR="00401BE0" w:rsidRPr="003303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енергі</w:t>
            </w:r>
            <w:r w:rsidR="00154516" w:rsidRPr="003303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ї</w:t>
            </w:r>
            <w:r w:rsidR="00401BE0" w:rsidRPr="003303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A62FD" w:rsidRPr="003303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1кВт.год </w:t>
            </w:r>
            <w:r w:rsidR="009042B0" w:rsidRPr="003303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="00401BE0" w:rsidRPr="003303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розрахунков</w:t>
            </w:r>
            <w:r w:rsidR="009042B0" w:rsidRPr="003303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</w:t>
            </w:r>
            <w:r w:rsidR="00401BE0" w:rsidRPr="003303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період визначається за формулою (без ПДВ</w:t>
            </w:r>
            <w:r w:rsidR="00401BE0" w:rsidRPr="003303CA">
              <w:rPr>
                <w:rFonts w:ascii="Times New Roman" w:hAnsi="Times New Roman"/>
                <w:sz w:val="24"/>
                <w:szCs w:val="24"/>
              </w:rPr>
              <w:t>)</w:t>
            </w:r>
            <w:r w:rsidR="0057737D" w:rsidRPr="003303CA">
              <w:rPr>
                <w:rFonts w:ascii="Times New Roman" w:hAnsi="Times New Roman"/>
                <w:sz w:val="24"/>
                <w:szCs w:val="24"/>
              </w:rPr>
              <w:t>, грн</w:t>
            </w:r>
            <w:r w:rsidR="000D48DE" w:rsidRPr="003303CA">
              <w:rPr>
                <w:rFonts w:ascii="Times New Roman" w:hAnsi="Times New Roman"/>
                <w:sz w:val="24"/>
                <w:szCs w:val="24"/>
              </w:rPr>
              <w:t>.</w:t>
            </w:r>
            <w:r w:rsidR="00401BE0" w:rsidRPr="003303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E46C7BB" w14:textId="7BB220A8" w:rsidR="00401BE0" w:rsidRPr="003303CA" w:rsidRDefault="008E7DC7" w:rsidP="003E1884">
            <w:pPr>
              <w:ind w:left="-109" w:right="-1" w:firstLine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пост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uk-UA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m:t>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m:t>рдн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m:t>акт t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uk-UA"/>
                </w:rPr>
                <m:t> + 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пост</m:t>
                  </m:r>
                </m:sub>
              </m:sSub>
            </m:oMath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+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пер</m:t>
                  </m:r>
                </m:sub>
              </m:sSub>
            </m:oMath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E1884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розп</m:t>
                  </m:r>
                </m:sub>
              </m:sSub>
            </m:oMath>
            <w:r w:rsidR="003E1884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бр+</m:t>
                  </m:r>
                </m:sub>
              </m:sSub>
            </m:oMath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бр-</m:t>
                  </m:r>
                </m:sub>
              </m:sSub>
            </m:oMath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), де:</w:t>
            </w:r>
          </w:p>
          <w:p w14:paraId="7C695448" w14:textId="190880FF" w:rsidR="00401BE0" w:rsidRPr="003303CA" w:rsidRDefault="008E7DC7" w:rsidP="004C372C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пост</m:t>
                  </m:r>
                </m:sub>
              </m:sSub>
            </m:oMath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  </w:t>
            </w:r>
            <w:r w:rsidR="00EF6E5F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ціна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електричної енергії</w:t>
            </w:r>
            <w:r w:rsidR="00370792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</w:t>
            </w:r>
            <w:r w:rsidR="003E1884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1кВт.год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6FD33807" w14:textId="09FA2C65" w:rsidR="00401BE0" w:rsidRPr="003303CA" w:rsidRDefault="008E7DC7" w:rsidP="004C372C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рдн</m:t>
                  </m:r>
                </m:sub>
              </m:sSub>
            </m:oMath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</w:t>
            </w:r>
            <w:r w:rsidR="00431784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65B3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сума </w:t>
            </w:r>
            <w:r w:rsidR="004444D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</w:t>
            </w:r>
            <w:r w:rsidR="000B1C53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бут</w:t>
            </w:r>
            <w:r w:rsidR="00365B3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ків</w:t>
            </w:r>
            <w:r w:rsidR="000B1C53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65B3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споживання </w:t>
            </w:r>
            <w:r w:rsidR="00D81803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електричної енергії </w:t>
            </w:r>
            <w:r w:rsidR="009D5095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A97403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певн</w:t>
            </w:r>
            <w:r w:rsidR="00EF3323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A97403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F34E5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годин</w:t>
            </w:r>
            <w:r w:rsidR="00EF3323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A97403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доби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ціни електр</w:t>
            </w:r>
            <w:r w:rsidR="000D48DE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ичної 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енергії за </w:t>
            </w:r>
            <w:r w:rsidR="00146636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</w:t>
            </w:r>
            <w:r w:rsidR="008807D7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 годину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A2628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що сформувалася 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 ринку </w:t>
            </w:r>
            <w:r w:rsidR="004A2628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добу наперед</w:t>
            </w:r>
            <w:r w:rsidR="004A2628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(РДН), погодинно</w:t>
            </w:r>
            <w:r w:rsidR="005740FB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 </w:t>
            </w:r>
            <w:r w:rsidR="00A15004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розрахунковий 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період, </w:t>
            </w:r>
            <w:r w:rsidR="00365B3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які 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опублікован</w:t>
            </w:r>
            <w:r w:rsidR="00365B3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Оператором Ринку на сайті</w:t>
            </w:r>
            <w:r w:rsidR="004A2628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hyperlink r:id="rId8" w:history="1">
              <w:r w:rsidR="003303CA" w:rsidRPr="003303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https://www.oree.com.ua/index.php/pricectr</w:t>
              </w:r>
            </w:hyperlink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151957B6" w14:textId="2A324867" w:rsidR="00401BE0" w:rsidRPr="003303CA" w:rsidRDefault="008E7DC7" w:rsidP="004C372C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акт 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t</m:t>
                  </m:r>
                </m:sub>
              </m:sSub>
            </m:oMath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сумарне погодинне споживання електр</w:t>
            </w:r>
            <w:r w:rsidR="00C6129A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ичної 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енергії за </w:t>
            </w:r>
            <w:r w:rsidR="003303CA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розрахунковий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період, кВт</w:t>
            </w:r>
            <w:r w:rsidR="005740FB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год;</w:t>
            </w:r>
          </w:p>
          <w:p w14:paraId="08469BA4" w14:textId="3F33022A" w:rsidR="00401BE0" w:rsidRPr="003303CA" w:rsidRDefault="008E7DC7" w:rsidP="004C372C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пост</m:t>
                  </m:r>
                </m:sub>
              </m:sSub>
            </m:oMath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 маржа Постачальника , </w:t>
            </w:r>
            <w:r w:rsidR="009F54D4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що 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визначається </w:t>
            </w:r>
            <w:r w:rsidR="005740FB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відсотках від загальної вартості використаної електричної енергії</w:t>
            </w:r>
            <w:r w:rsidR="00A478BA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що придбана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на РДН та </w:t>
            </w:r>
            <w:r w:rsidR="00A478BA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балансуючому ринку (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БР</w:t>
            </w:r>
            <w:r w:rsidR="00A478BA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(поза узгодженим </w:t>
            </w:r>
            <w:r w:rsidR="00F54FF4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Сторонами </w:t>
            </w:r>
            <w:r w:rsidR="00D07EB5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рів</w:t>
            </w:r>
            <w:r w:rsidR="005740FB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нем</w:t>
            </w:r>
            <w:r w:rsidR="00D07EB5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толеранс</w:t>
            </w:r>
            <w:r w:rsidR="00D07EB5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), та складає __ %</w:t>
            </w:r>
            <w:r w:rsidR="00A97403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яка включає:</w:t>
            </w:r>
          </w:p>
          <w:p w14:paraId="17CD90BD" w14:textId="4450A989" w:rsidR="00401BE0" w:rsidRPr="003303CA" w:rsidRDefault="00401BE0" w:rsidP="004C372C">
            <w:pPr>
              <w:numPr>
                <w:ilvl w:val="0"/>
                <w:numId w:val="10"/>
              </w:num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небаланси споживача </w:t>
            </w:r>
            <w:r w:rsidR="00F414E5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 </w:t>
            </w:r>
            <w:r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межах відхилень фактичного </w:t>
            </w:r>
            <w:r w:rsidR="0093279E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обсягу </w:t>
            </w:r>
            <w:r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споживання від запланованого </w:t>
            </w:r>
            <w:r w:rsidR="0093279E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обсягу </w:t>
            </w:r>
            <w:r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(толеранс);</w:t>
            </w:r>
          </w:p>
          <w:p w14:paraId="443651F1" w14:textId="77777777" w:rsidR="00401BE0" w:rsidRPr="003303CA" w:rsidRDefault="00A97403" w:rsidP="004C372C">
            <w:pPr>
              <w:numPr>
                <w:ilvl w:val="0"/>
                <w:numId w:val="10"/>
              </w:num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прибуток Постачальника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72F255A0" w14:textId="08B83665" w:rsidR="00401BE0" w:rsidRPr="003303CA" w:rsidRDefault="00A97403" w:rsidP="004C372C">
            <w:pPr>
              <w:numPr>
                <w:ilvl w:val="0"/>
                <w:numId w:val="10"/>
              </w:num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витрати Постачальника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пов'язані з</w:t>
            </w:r>
            <w:r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зборами на регулювання НКРЕКП</w:t>
            </w:r>
            <w:r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(Регулятора)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з виплатами постійних та змінних нарахувань за участь у </w:t>
            </w:r>
            <w:r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сегментах ринку</w:t>
            </w:r>
            <w:r w:rsidR="0093279E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електричної енергії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55CBDB7A" w14:textId="417DC858" w:rsidR="00401BE0" w:rsidRPr="003303CA" w:rsidRDefault="008E7DC7" w:rsidP="004C372C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пер</m:t>
                  </m:r>
                </m:sub>
              </m:sSub>
            </m:oMath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 тариф за послуги передачі електричної енергії мережами </w:t>
            </w:r>
            <w:r w:rsidR="00A97403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НЕК «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Укренерго</w:t>
            </w:r>
            <w:r w:rsidR="00A97403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затверджен</w:t>
            </w:r>
            <w:r w:rsidR="00F02026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ого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НКРЕКП та опублікован</w:t>
            </w:r>
            <w:r w:rsidR="00F02026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ого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сайті: </w:t>
            </w:r>
            <w:hyperlink r:id="rId9" w:history="1">
              <w:r w:rsidR="00A97403" w:rsidRPr="003303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https://www.nerc.gov.ua/?id=51970</w:t>
              </w:r>
            </w:hyperlink>
            <w:r w:rsidR="00A97403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грн</w:t>
            </w:r>
            <w:r w:rsidR="00AF4247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401BE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4A51337D" w14:textId="77EC0DBE" w:rsidR="00A520D3" w:rsidRPr="003303CA" w:rsidRDefault="008E7DC7" w:rsidP="004C372C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розп</m:t>
                  </m:r>
                </m:sub>
              </m:sSub>
            </m:oMath>
            <w:r w:rsidR="00A520D3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 тариф за послуги розподілу електричної енергії</w:t>
            </w:r>
            <w:r w:rsidR="004E2A9E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E40C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оператора си</w:t>
            </w:r>
            <w:r w:rsidR="007F195A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 w:rsidR="003E40C0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тем розподілу</w:t>
            </w:r>
            <w:r w:rsidR="00A520D3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затверджен</w:t>
            </w:r>
            <w:r w:rsidR="007B2E1E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ого</w:t>
            </w:r>
            <w:r w:rsidR="00A520D3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НКРЕКП та опублікован</w:t>
            </w:r>
            <w:r w:rsidR="007B2E1E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ого </w:t>
            </w:r>
            <w:r w:rsidR="00A520D3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 сайті: </w:t>
            </w:r>
            <w:hyperlink r:id="rId10" w:history="1">
              <w:r w:rsidR="003A0164" w:rsidRPr="003303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http://www.nerc.gov.ua/?id=37480</w:t>
              </w:r>
            </w:hyperlink>
            <w:r w:rsidR="003A0164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грн.</w:t>
            </w:r>
            <w:r w:rsidR="00AF4247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08AFB702" w14:textId="788117BC" w:rsidR="005702C1" w:rsidRPr="003303CA" w:rsidRDefault="00401BE0" w:rsidP="004C372C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бр+</m:t>
                  </m:r>
                </m:sub>
              </m:sSub>
            </m:oMath>
            <w:r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бр-</m:t>
                  </m:r>
                </m:sub>
              </m:sSub>
            </m:oMath>
            <w:r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 – ре</w:t>
            </w:r>
            <w:r w:rsidR="00A97403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зультати балансування споживача</w:t>
            </w:r>
            <w:r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понад </w:t>
            </w:r>
            <w:r w:rsidR="00080C83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узгодженого Сторонами </w:t>
            </w:r>
            <w:r w:rsidR="00A97403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рівня</w:t>
            </w:r>
            <w:r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толерансу,</w:t>
            </w:r>
            <w:r w:rsid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грн.</w:t>
            </w:r>
          </w:p>
        </w:tc>
      </w:tr>
      <w:tr w:rsidR="005702C1" w:rsidRPr="003303CA" w14:paraId="26452D2E" w14:textId="77777777" w:rsidTr="00D140B5">
        <w:trPr>
          <w:jc w:val="center"/>
        </w:trPr>
        <w:tc>
          <w:tcPr>
            <w:tcW w:w="2122" w:type="dxa"/>
            <w:vAlign w:val="center"/>
          </w:tcPr>
          <w:p w14:paraId="719D2E89" w14:textId="1BB1C44B" w:rsidR="005702C1" w:rsidRPr="003303CA" w:rsidRDefault="005702C1" w:rsidP="001A68F0">
            <w:pPr>
              <w:pStyle w:val="a6"/>
              <w:numPr>
                <w:ilvl w:val="0"/>
                <w:numId w:val="17"/>
              </w:numPr>
              <w:ind w:left="0" w:right="-1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03CA">
              <w:rPr>
                <w:rStyle w:val="fontstyle21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Порядок  розрахунку розміру оплати</w:t>
            </w:r>
            <w:r w:rsidR="008F626F" w:rsidRPr="003303CA">
              <w:rPr>
                <w:rStyle w:val="fontstyle21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за </w:t>
            </w:r>
            <w:r w:rsidR="008F626F" w:rsidRPr="003303CA">
              <w:rPr>
                <w:rStyle w:val="fontstyle21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розрахунковий період</w:t>
            </w:r>
          </w:p>
        </w:tc>
        <w:tc>
          <w:tcPr>
            <w:tcW w:w="7654" w:type="dxa"/>
            <w:vAlign w:val="center"/>
          </w:tcPr>
          <w:p w14:paraId="360F2938" w14:textId="77777777" w:rsidR="005702C1" w:rsidRPr="003303CA" w:rsidRDefault="005702C1" w:rsidP="004C372C">
            <w:pPr>
              <w:ind w:right="-1" w:firstLine="460"/>
              <w:jc w:val="both"/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Розрахунковим періодом є календарний місяць.</w:t>
            </w:r>
          </w:p>
          <w:p w14:paraId="7EAD0F19" w14:textId="6C85CBAC" w:rsidR="005702C1" w:rsidRPr="003303CA" w:rsidRDefault="005702C1" w:rsidP="004C372C">
            <w:pPr>
              <w:ind w:right="-1" w:firstLine="460"/>
              <w:jc w:val="both"/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Оплата електричної енергії здійснюється Споживачем</w:t>
            </w:r>
            <w:r w:rsidR="0011636A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</w:t>
            </w:r>
            <w:r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попередн</w:t>
            </w:r>
            <w:r w:rsidR="0011636A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оплат</w:t>
            </w:r>
            <w:r w:rsidR="0011636A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а, що </w:t>
            </w:r>
            <w:r w:rsidR="008614F3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розраховується як вартість планового (прогнозного) обсягу електричної енергії</w:t>
            </w:r>
            <w:r w:rsidR="00AC770B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формулою:</w:t>
            </w:r>
            <w:r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5819053A" w14:textId="77777777" w:rsidR="005702C1" w:rsidRPr="003303CA" w:rsidRDefault="005702C1" w:rsidP="004C372C">
            <w:pPr>
              <w:ind w:right="-1" w:firstLine="460"/>
              <w:jc w:val="both"/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              Побсяг = 1,1 ОСП * </w:t>
            </w:r>
            <m:oMath>
              <m:sSub>
                <m:sSubPr>
                  <m:ctrlPr>
                    <w:rPr>
                      <w:rStyle w:val="fontstyle21"/>
                      <w:rFonts w:ascii="Cambria Math" w:hAnsi="Cambria Math" w:cs="Times New Roman"/>
                      <w:color w:val="000000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21"/>
                      <w:rFonts w:ascii="Cambria Math" w:hAnsi="Cambria Math" w:cs="Times New Roman"/>
                      <w:color w:val="000000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Style w:val="fontstyle21"/>
                      <w:rFonts w:ascii="Cambria Math" w:hAnsi="Cambria Math" w:cs="Times New Roman"/>
                      <w:color w:val="000000"/>
                      <w:sz w:val="24"/>
                      <w:szCs w:val="24"/>
                      <w:lang w:val="uk-UA"/>
                    </w:rPr>
                    <m:t>пост</m:t>
                  </m:r>
                </m:sub>
              </m:sSub>
            </m:oMath>
            <w:r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(з ПДВ), де</w:t>
            </w:r>
          </w:p>
          <w:p w14:paraId="105B4DA0" w14:textId="1034A974" w:rsidR="00920A2D" w:rsidRPr="003303CA" w:rsidRDefault="00A47BA8" w:rsidP="004C372C">
            <w:pPr>
              <w:ind w:right="-1" w:firstLine="460"/>
              <w:jc w:val="both"/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Побс</w:t>
            </w:r>
            <w:r w:rsidR="004B6F53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яг</w:t>
            </w:r>
            <w:r w:rsidR="00340797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356D33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 планового (прогнозного) обсягу електричної енергії</w:t>
            </w:r>
            <w:r w:rsidR="006E5692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(далі – Попередня оплата)</w:t>
            </w:r>
            <w:r w:rsidR="00D911D1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52EA6CEB" w14:textId="2501123D" w:rsidR="005702C1" w:rsidRPr="003303CA" w:rsidRDefault="008E7DC7" w:rsidP="004C372C">
            <w:pPr>
              <w:ind w:right="-1" w:firstLine="460"/>
              <w:jc w:val="both"/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uk-UA"/>
                    </w:rPr>
                    <m:t>пост</m:t>
                  </m:r>
                </m:sub>
              </m:sSub>
            </m:oMath>
            <w:r w:rsidR="00F64B42" w:rsidRPr="003303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02C1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– ціна електричної енергії з урахуванням усіх необхідних податків і платежів відповідно до </w:t>
            </w:r>
            <w:r w:rsidR="00A97403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5702C1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аконодавства </w:t>
            </w:r>
            <w:r w:rsidR="00A97403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України </w:t>
            </w:r>
            <w:r w:rsidR="005702C1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r w:rsidR="00A97403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інших нормативно-правових актів</w:t>
            </w:r>
            <w:r w:rsidR="005702C1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(акцизного збору</w:t>
            </w:r>
            <w:r w:rsidR="00A97403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тощо</w:t>
            </w:r>
            <w:r w:rsidR="005702C1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 за попередній розрахунковий період</w:t>
            </w:r>
            <w:r w:rsidR="00A97403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грн</w:t>
            </w:r>
            <w:r w:rsidR="00125A59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5702C1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06614DF7" w14:textId="2D8547A4" w:rsidR="005702C1" w:rsidRPr="003303CA" w:rsidRDefault="005702C1" w:rsidP="004C372C">
            <w:pPr>
              <w:ind w:right="-1" w:firstLine="460"/>
              <w:jc w:val="both"/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ОСП – заявлений </w:t>
            </w:r>
            <w:r w:rsidR="003855F0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(плановий/прогнозний) </w:t>
            </w:r>
            <w:r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Споживачем обсяг постачання електричної енергії у відповідному розрахунковому періоді</w:t>
            </w:r>
            <w:r w:rsidR="00A97403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кВт.год</w:t>
            </w:r>
            <w:r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1612255C" w14:textId="041C2695" w:rsidR="00C53F0B" w:rsidRPr="003303CA" w:rsidRDefault="006950A4" w:rsidP="004C372C">
            <w:pPr>
              <w:ind w:right="-1"/>
              <w:jc w:val="both"/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  <w:r w:rsidR="00D7233A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Остат</w:t>
            </w:r>
            <w:r w:rsidR="00A91A6F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D7233A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чна вартість електричної енергії за ро</w:t>
            </w:r>
            <w:r w:rsidR="00A91A6F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зрахунковий період визначається </w:t>
            </w:r>
            <w:r w:rsidR="00B463FC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 w:rsidR="00C53F0B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обсяги </w:t>
            </w:r>
            <w:r w:rsidR="00B463FC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фактично відпущен</w:t>
            </w:r>
            <w:r w:rsidR="00C53F0B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 (спожитої)</w:t>
            </w:r>
            <w:r w:rsidR="00B463FC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електричн</w:t>
            </w:r>
            <w:r w:rsidR="00C53F0B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r w:rsidR="00B463FC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енергі</w:t>
            </w:r>
            <w:r w:rsidR="00C53F0B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="00B463FC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D0584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розрахунковий період </w:t>
            </w:r>
            <w:r w:rsidR="00B463FC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згідно з даними комерційного обліку</w:t>
            </w:r>
            <w:r w:rsidR="00B3451C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53F0B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Споживача. </w:t>
            </w:r>
          </w:p>
          <w:p w14:paraId="3A26E7C1" w14:textId="72071B8C" w:rsidR="008C3FB1" w:rsidRPr="003303CA" w:rsidRDefault="008C3FB1" w:rsidP="004C372C">
            <w:pPr>
              <w:ind w:right="-1"/>
              <w:rPr>
                <w:rStyle w:val="fontstyle21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692F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Остаточний розмір вартості електричної енергії та платежу за фактичний обсяг споживання електричної енергії за розрахунковий період розраховується Постачальником на підставі ціни  Ц_(пост.)  за цей розрахунковий період та фактичного обсягу споживання електричної енергії за цей період.</w:t>
            </w:r>
          </w:p>
          <w:p w14:paraId="56B2A734" w14:textId="77777777" w:rsidR="008C3FB1" w:rsidRPr="003303CA" w:rsidRDefault="008C3FB1" w:rsidP="004C372C">
            <w:pPr>
              <w:ind w:right="-1"/>
              <w:rPr>
                <w:rStyle w:val="fontstyle21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14:paraId="592BBA06" w14:textId="2079C5ED" w:rsidR="0064608A" w:rsidRPr="003303CA" w:rsidRDefault="005702C1" w:rsidP="004C372C">
            <w:pPr>
              <w:ind w:right="-1"/>
              <w:jc w:val="both"/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разі</w:t>
            </w:r>
            <w:r w:rsidR="0033618F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я</w:t>
            </w:r>
            <w:r w:rsidR="00CF7E84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кщо </w:t>
            </w:r>
            <w:r w:rsidR="0033618F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поп</w:t>
            </w:r>
            <w:r w:rsidR="00856323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 w:rsidR="0033618F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редня оплата, що оплачена Споживаче</w:t>
            </w:r>
            <w:r w:rsidR="00856323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 за розрахунковий період, перевищує вартість фактичного обсягу електричної енергії, що спожита </w:t>
            </w:r>
            <w:r w:rsidR="00B3451C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Споживачем</w:t>
            </w:r>
            <w:r w:rsidR="00486461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цей розрахунковий період, така переплата </w:t>
            </w:r>
            <w:r w:rsidR="002F24B3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зараховується </w:t>
            </w:r>
            <w:r w:rsidR="0064608A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Постачальником</w:t>
            </w:r>
            <w:r w:rsidR="00F163D5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D1DE7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</w:t>
            </w:r>
            <w:r w:rsidR="00044449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так</w:t>
            </w:r>
            <w:r w:rsidR="00AD1DE7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ою</w:t>
            </w:r>
            <w:r w:rsidR="00044449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163D5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D1DE7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черговістю</w:t>
            </w:r>
            <w:r w:rsidR="0064608A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14:paraId="3D1083C9" w14:textId="77777777" w:rsidR="00AD1DE7" w:rsidRPr="003303CA" w:rsidRDefault="00F163D5" w:rsidP="004C372C">
            <w:pPr>
              <w:pStyle w:val="a6"/>
              <w:numPr>
                <w:ilvl w:val="0"/>
                <w:numId w:val="12"/>
              </w:numPr>
              <w:ind w:right="-1"/>
              <w:jc w:val="both"/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="0064608A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 оплата заборгованості </w:t>
            </w:r>
            <w:r w:rsidR="00AD1DE7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споживача </w:t>
            </w:r>
            <w:r w:rsidR="0064608A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попередні</w:t>
            </w:r>
            <w:r w:rsidR="00486461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розрахункові періоди</w:t>
            </w:r>
            <w:r w:rsidR="00AD1DE7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5DF8A0FF" w14:textId="64197C7B" w:rsidR="003B17C0" w:rsidRPr="003303CA" w:rsidRDefault="00AD7BC7" w:rsidP="004C372C">
            <w:pPr>
              <w:pStyle w:val="a6"/>
              <w:numPr>
                <w:ilvl w:val="0"/>
                <w:numId w:val="12"/>
              </w:numPr>
              <w:ind w:right="-1"/>
              <w:jc w:val="both"/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 попередня оплата наступного розрахункового період</w:t>
            </w:r>
            <w:r w:rsidR="00F11542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у, якщо </w:t>
            </w:r>
            <w:r w:rsidR="0046185B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відсутня заборгованість споживача </w:t>
            </w:r>
            <w:r w:rsidR="00FB08C8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та, якщо споживач не звернувся із письмовою заявою про повернення</w:t>
            </w:r>
            <w:r w:rsidR="00D14A8C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переплати</w:t>
            </w:r>
            <w:r w:rsidR="00FB08C8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5702C1" w:rsidRPr="003303CA" w14:paraId="7DA4AE9A" w14:textId="77777777" w:rsidTr="00D140B5">
        <w:trPr>
          <w:jc w:val="center"/>
        </w:trPr>
        <w:tc>
          <w:tcPr>
            <w:tcW w:w="2122" w:type="dxa"/>
            <w:vAlign w:val="center"/>
          </w:tcPr>
          <w:p w14:paraId="46E30FAF" w14:textId="4B2B8914" w:rsidR="005702C1" w:rsidRPr="001A68F0" w:rsidRDefault="00F87820" w:rsidP="001A68F0">
            <w:pPr>
              <w:pStyle w:val="a6"/>
              <w:numPr>
                <w:ilvl w:val="0"/>
                <w:numId w:val="17"/>
              </w:numPr>
              <w:ind w:left="0" w:right="-1" w:firstLine="0"/>
              <w:rPr>
                <w:rStyle w:val="fontstyle21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68F0">
              <w:rPr>
                <w:rStyle w:val="fontstyle21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Порядок</w:t>
            </w:r>
            <w:r w:rsidR="005702C1" w:rsidRPr="001A68F0">
              <w:rPr>
                <w:rStyle w:val="fontstyle21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оплати платежів</w:t>
            </w:r>
          </w:p>
        </w:tc>
        <w:tc>
          <w:tcPr>
            <w:tcW w:w="7654" w:type="dxa"/>
            <w:vAlign w:val="center"/>
          </w:tcPr>
          <w:p w14:paraId="0FDD7B7A" w14:textId="0B1EDD79" w:rsidR="005702C1" w:rsidRPr="00A37797" w:rsidRDefault="005702C1" w:rsidP="00A37797">
            <w:pPr>
              <w:pStyle w:val="a6"/>
              <w:numPr>
                <w:ilvl w:val="0"/>
                <w:numId w:val="16"/>
              </w:numPr>
              <w:ind w:left="316" w:right="-1" w:hanging="316"/>
              <w:jc w:val="both"/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7797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Планові платежі розраховуються  Споживачем самостійно та сплачуються у строк:</w:t>
            </w:r>
          </w:p>
          <w:p w14:paraId="3ED6B510" w14:textId="09ACCE86" w:rsidR="00753852" w:rsidRPr="003303CA" w:rsidRDefault="00753852" w:rsidP="004C372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0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Перший платіж</w:t>
            </w:r>
            <w:r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– не пізніше ніж за 5 (п’ять) банківських днів до кінця мі</w:t>
            </w:r>
            <w:r w:rsidR="00A97403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сяця, що передує </w:t>
            </w:r>
            <w:r w:rsidR="00AB1058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розрахунковому пе</w:t>
            </w:r>
            <w:r w:rsidR="001F5754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ріоду, </w:t>
            </w:r>
            <w:r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 розмірі </w:t>
            </w:r>
            <w:r w:rsidR="001C5738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</w:t>
            </w:r>
            <w:r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% </w:t>
            </w:r>
            <w:r w:rsidR="001F5754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 </w:t>
            </w:r>
            <w:r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03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Побсяг</w:t>
            </w:r>
            <w:r w:rsidR="00363DD2" w:rsidRPr="003303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(Попередньої оплати)</w:t>
            </w:r>
            <w:r w:rsidR="00FA5F3B" w:rsidRPr="003303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грн.</w:t>
            </w:r>
            <w:r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14:paraId="4DECF410" w14:textId="2DCD357C" w:rsidR="00753852" w:rsidRPr="003303CA" w:rsidRDefault="00753852" w:rsidP="004C372C">
            <w:pPr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30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Другий платіж</w:t>
            </w:r>
            <w:r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– не пізніше 10 (десятого) числа місяця </w:t>
            </w:r>
            <w:r w:rsidR="00363DD2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</w:t>
            </w:r>
            <w:r w:rsidR="00363DD2" w:rsidRPr="003303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озрахункового періода</w:t>
            </w:r>
            <w:r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розмірі </w:t>
            </w:r>
            <w:r w:rsidR="001C5738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</w:t>
            </w:r>
            <w:r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% </w:t>
            </w:r>
            <w:r w:rsidR="00363DD2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 </w:t>
            </w:r>
            <w:r w:rsidRPr="003303CA">
              <w:rPr>
                <w:rStyle w:val="fontstyle21"/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Побсяг</w:t>
            </w:r>
            <w:r w:rsidR="00363DD2" w:rsidRPr="003303CA">
              <w:rPr>
                <w:rStyle w:val="fontstyle21"/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(Попередньої оплати)</w:t>
            </w:r>
            <w:r w:rsidR="0001113E" w:rsidRPr="003303CA">
              <w:rPr>
                <w:rStyle w:val="fontstyle21"/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грн.</w:t>
            </w:r>
            <w:r w:rsidRPr="00330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;</w:t>
            </w:r>
          </w:p>
          <w:p w14:paraId="165BEE12" w14:textId="3A0302B2" w:rsidR="00753852" w:rsidRPr="003303CA" w:rsidRDefault="00753852" w:rsidP="004C372C">
            <w:pPr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30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Третій платіж</w:t>
            </w:r>
            <w:r w:rsidRPr="00330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– не пізніше 20 (двадцятого) числа </w:t>
            </w:r>
            <w:r w:rsidR="00665011" w:rsidRPr="00330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р</w:t>
            </w:r>
            <w:r w:rsidR="00665011" w:rsidRPr="003303CA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озрахункоков</w:t>
            </w:r>
            <w:r w:rsidR="008B6ABA" w:rsidRPr="003303CA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о</w:t>
            </w:r>
            <w:r w:rsidR="00665011" w:rsidRPr="003303CA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го періода </w:t>
            </w:r>
            <w:r w:rsidRPr="00330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в розмірі </w:t>
            </w:r>
            <w:r w:rsidR="001C5738" w:rsidRPr="00330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_____</w:t>
            </w:r>
            <w:r w:rsidRPr="00330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% </w:t>
            </w:r>
            <w:r w:rsidR="00665011" w:rsidRPr="00330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від </w:t>
            </w:r>
            <w:r w:rsidRPr="00330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03CA">
              <w:rPr>
                <w:rStyle w:val="fontstyle21"/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Побсяг</w:t>
            </w:r>
            <w:r w:rsidR="00665011" w:rsidRPr="003303CA">
              <w:rPr>
                <w:rStyle w:val="fontstyle21"/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665011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(Попереднь</w:t>
            </w:r>
            <w:r w:rsidR="00891976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665011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 оплати)</w:t>
            </w:r>
            <w:r w:rsidR="0001113E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грн</w:t>
            </w:r>
            <w:r w:rsidR="00665011"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5FC8DD5D" w14:textId="77777777" w:rsidR="005702C1" w:rsidRPr="003303CA" w:rsidRDefault="005702C1" w:rsidP="004C372C">
            <w:pPr>
              <w:pStyle w:val="a6"/>
              <w:ind w:left="567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7E114CC" w14:textId="7AF752F2" w:rsidR="005702C1" w:rsidRPr="003303CA" w:rsidRDefault="003B17C0" w:rsidP="004C372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2. </w:t>
            </w:r>
            <w:r w:rsidR="00665011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Якщо Споживач</w:t>
            </w:r>
            <w:r w:rsidR="00301407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D45A5C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перевищує</w:t>
            </w:r>
            <w:r w:rsidR="00665011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2F3AA3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обсяг електричної енергії понад </w:t>
            </w:r>
            <w:r w:rsidR="00C82AF0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обсяг</w:t>
            </w:r>
            <w:r w:rsidR="00D45A5C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заявлений ним у </w:t>
            </w:r>
            <w:r w:rsidR="00C82AF0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щомісячн</w:t>
            </w:r>
            <w:r w:rsidR="00D45A5C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ій</w:t>
            </w:r>
            <w:r w:rsidR="00C82AF0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заяв</w:t>
            </w:r>
            <w:r w:rsidR="00D45A5C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ці</w:t>
            </w:r>
            <w:r w:rsidR="00C82AF0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 прогнозні обсяги споживання</w:t>
            </w:r>
            <w:r w:rsidR="00D45A5C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="005702C1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Споживач здійснює оплату за збільшений обсяг електр</w:t>
            </w:r>
            <w:r w:rsidR="001C5738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ичної </w:t>
            </w:r>
            <w:r w:rsidR="005702C1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енергії, протягом 3 (трьох) календарних днів з моменту надання </w:t>
            </w:r>
            <w:r w:rsidR="00D45A5C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ним </w:t>
            </w:r>
            <w:r w:rsidR="005702C1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скоригованої </w:t>
            </w:r>
            <w:r w:rsidR="00D45A5C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="005702C1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аявки</w:t>
            </w:r>
            <w:r w:rsidR="00D45A5C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 прогнозні обсяги споживання</w:t>
            </w:r>
            <w:r w:rsidR="005702C1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="00D6794B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що розраховується як добуток </w:t>
            </w:r>
            <w:r w:rsidR="00301407"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додаткового обсягу електричної енергії 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uk-UA" w:eastAsia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uk-UA" w:eastAsia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uk-UA" w:eastAsia="uk-UA"/>
                    </w:rPr>
                    <m:t>пост.</m:t>
                  </m:r>
                </m:sub>
              </m:sSub>
            </m:oMath>
          </w:p>
          <w:p w14:paraId="50E7B20C" w14:textId="77777777" w:rsidR="005702C1" w:rsidRPr="001A68F0" w:rsidRDefault="005702C1" w:rsidP="004C372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14:paraId="684DC764" w14:textId="72A8872F" w:rsidR="008C3FB1" w:rsidRPr="001A68F0" w:rsidRDefault="003B17C0" w:rsidP="004C372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1A6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 xml:space="preserve">3. </w:t>
            </w:r>
            <w:r w:rsidR="00C37AC2" w:rsidRPr="001A6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Споживач </w:t>
            </w:r>
            <w:r w:rsidR="001225B1" w:rsidRPr="001A6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розраховується із Постачальником протягом 5 (п’яти) робочих днів </w:t>
            </w:r>
            <w:r w:rsidR="00F67FA5" w:rsidRPr="001A6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 дня от</w:t>
            </w:r>
            <w:r w:rsidR="00324310" w:rsidRPr="001A6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римання ним </w:t>
            </w:r>
            <w:r w:rsidR="001225B1" w:rsidRPr="001A6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акту</w:t>
            </w:r>
            <w:r w:rsidR="00F67FA5" w:rsidRPr="001A6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купівлі-продажу електричної енергії та рахунку за спожиту електричну енергію</w:t>
            </w:r>
            <w:r w:rsidR="008C3FB1" w:rsidRPr="001A6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на підставі </w:t>
            </w:r>
            <w:r w:rsidR="001A68F0" w:rsidRPr="001A6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остаточного</w:t>
            </w:r>
            <w:r w:rsidR="00952E4A" w:rsidRPr="001A6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розміру вартості електричної енергії</w:t>
            </w:r>
          </w:p>
          <w:p w14:paraId="519F4762" w14:textId="77777777" w:rsidR="008C3FB1" w:rsidRPr="001A68F0" w:rsidRDefault="008C3FB1" w:rsidP="004C372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14:paraId="63A64B54" w14:textId="75F0C425" w:rsidR="005702C1" w:rsidRPr="001A68F0" w:rsidRDefault="008C3FB1" w:rsidP="004C372C">
            <w:pPr>
              <w:tabs>
                <w:tab w:val="left" w:pos="426"/>
              </w:tabs>
              <w:ind w:right="-1"/>
              <w:jc w:val="both"/>
              <w:rPr>
                <w:rStyle w:val="fontstyle21"/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1A6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4. </w:t>
            </w:r>
            <w:r w:rsidR="00324310" w:rsidRPr="001A6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Умови </w:t>
            </w:r>
            <w:r w:rsidR="004B1868" w:rsidRPr="001A6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обміну та </w:t>
            </w:r>
            <w:r w:rsidR="00324310" w:rsidRPr="001A6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отримання документів визначено Договором</w:t>
            </w:r>
            <w:r w:rsidR="00324310" w:rsidRPr="003303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.</w:t>
            </w:r>
          </w:p>
        </w:tc>
      </w:tr>
      <w:tr w:rsidR="005702C1" w:rsidRPr="003303CA" w14:paraId="1E699E5A" w14:textId="77777777" w:rsidTr="00D140B5">
        <w:trPr>
          <w:jc w:val="center"/>
        </w:trPr>
        <w:tc>
          <w:tcPr>
            <w:tcW w:w="2122" w:type="dxa"/>
            <w:vAlign w:val="center"/>
          </w:tcPr>
          <w:p w14:paraId="44EFD028" w14:textId="4400C51E" w:rsidR="008611F7" w:rsidRPr="001A68F0" w:rsidRDefault="008611F7" w:rsidP="001A68F0">
            <w:pPr>
              <w:pStyle w:val="a6"/>
              <w:numPr>
                <w:ilvl w:val="0"/>
                <w:numId w:val="17"/>
              </w:numPr>
              <w:ind w:left="0" w:right="-1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68F0">
              <w:rPr>
                <w:rStyle w:val="fontstyle21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</w:t>
            </w:r>
            <w:r w:rsidRPr="001A6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ермін (строк) </w:t>
            </w:r>
            <w:r w:rsidRPr="001A6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виставлення рахунку за спожиту електричну енергію та термін (строк) його оплати</w:t>
            </w:r>
          </w:p>
          <w:p w14:paraId="31CB4906" w14:textId="3B4A9545" w:rsidR="005702C1" w:rsidRPr="003303CA" w:rsidRDefault="005702C1" w:rsidP="004C372C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vAlign w:val="center"/>
          </w:tcPr>
          <w:p w14:paraId="4D4D6349" w14:textId="77777777" w:rsidR="005A3E4F" w:rsidRPr="003303CA" w:rsidRDefault="009729DD" w:rsidP="004C372C">
            <w:pPr>
              <w:pStyle w:val="2"/>
              <w:ind w:right="-1"/>
            </w:pPr>
            <w:r w:rsidRPr="003303CA">
              <w:lastRenderedPageBreak/>
              <w:t>Постачальни</w:t>
            </w:r>
            <w:r w:rsidR="0082028F" w:rsidRPr="003303CA">
              <w:t xml:space="preserve">к складає </w:t>
            </w:r>
            <w:r w:rsidRPr="003303CA">
              <w:t xml:space="preserve"> акт купівлі-продажу електричної енергії  та рахунок на підставі  фактичних даних обсяг</w:t>
            </w:r>
            <w:r w:rsidR="00277A2D" w:rsidRPr="003303CA">
              <w:t>ів</w:t>
            </w:r>
            <w:r w:rsidR="00DD7667" w:rsidRPr="003303CA">
              <w:t xml:space="preserve"> електричної енергії відповідно </w:t>
            </w:r>
            <w:r w:rsidR="00DD7667" w:rsidRPr="003303CA">
              <w:lastRenderedPageBreak/>
              <w:t>до</w:t>
            </w:r>
            <w:r w:rsidRPr="003303CA">
              <w:t xml:space="preserve">  погодинного графіку споживання електричної енергії </w:t>
            </w:r>
            <w:r w:rsidR="00DD7667" w:rsidRPr="003303CA">
              <w:t xml:space="preserve">Споживача </w:t>
            </w:r>
            <w:r w:rsidR="0082028F" w:rsidRPr="003303CA">
              <w:t xml:space="preserve">за </w:t>
            </w:r>
            <w:r w:rsidRPr="003303CA">
              <w:t>розрахунков</w:t>
            </w:r>
            <w:r w:rsidR="0082028F" w:rsidRPr="003303CA">
              <w:t>ий</w:t>
            </w:r>
            <w:r w:rsidRPr="003303CA">
              <w:t xml:space="preserve">  період </w:t>
            </w:r>
            <w:r w:rsidR="0082028F" w:rsidRPr="003303CA">
              <w:t>та</w:t>
            </w:r>
            <w:r w:rsidRPr="003303CA">
              <w:t xml:space="preserve">  цін на електричну енергію</w:t>
            </w:r>
            <w:r w:rsidR="006E45FA" w:rsidRPr="003303CA">
              <w:t>, що розраховуються відповідно до пункту</w:t>
            </w:r>
            <w:r w:rsidRPr="003303CA">
              <w:t xml:space="preserve"> </w:t>
            </w:r>
            <w:r w:rsidR="006E45FA" w:rsidRPr="003303CA">
              <w:t>1 цієї Комерційної пропозиції</w:t>
            </w:r>
            <w:r w:rsidR="00277A2D" w:rsidRPr="003303CA">
              <w:t xml:space="preserve">. </w:t>
            </w:r>
          </w:p>
          <w:p w14:paraId="7BA49DC0" w14:textId="6DD33219" w:rsidR="006D056B" w:rsidRPr="008A2105" w:rsidRDefault="005A3E4F" w:rsidP="004C372C">
            <w:pPr>
              <w:pStyle w:val="2"/>
              <w:ind w:right="-1"/>
              <w:rPr>
                <w:color w:val="000000" w:themeColor="text1"/>
              </w:rPr>
            </w:pPr>
            <w:r w:rsidRPr="003303CA">
              <w:t xml:space="preserve">Акт купівлі-продажу електричної енергії </w:t>
            </w:r>
            <w:r w:rsidR="009729DD" w:rsidRPr="003303CA">
              <w:t>надає</w:t>
            </w:r>
            <w:r w:rsidRPr="003303CA">
              <w:t>ться Постачальником</w:t>
            </w:r>
            <w:r w:rsidR="009729DD" w:rsidRPr="003303CA">
              <w:t xml:space="preserve"> Споживачу в строк не пізніше 10 (десятого) числа місяця, наступного за розрахунковим</w:t>
            </w:r>
            <w:r w:rsidRPr="003303CA">
              <w:t xml:space="preserve"> періодом</w:t>
            </w:r>
            <w:r w:rsidR="009729DD" w:rsidRPr="003303CA">
              <w:t xml:space="preserve">. </w:t>
            </w:r>
          </w:p>
          <w:p w14:paraId="56C4149F" w14:textId="5A35E49A" w:rsidR="005702C1" w:rsidRPr="008A2105" w:rsidRDefault="006D056B" w:rsidP="004C372C">
            <w:pPr>
              <w:pStyle w:val="2"/>
              <w:ind w:right="-1"/>
              <w:rPr>
                <w:color w:val="000000" w:themeColor="text1"/>
              </w:rPr>
            </w:pPr>
            <w:r w:rsidRPr="008A2105">
              <w:rPr>
                <w:color w:val="000000" w:themeColor="text1"/>
              </w:rPr>
              <w:t xml:space="preserve">За відсутності </w:t>
            </w:r>
            <w:r w:rsidR="008316A6" w:rsidRPr="008A2105">
              <w:rPr>
                <w:color w:val="000000" w:themeColor="text1"/>
              </w:rPr>
              <w:t>обґрунтованих</w:t>
            </w:r>
            <w:r w:rsidRPr="008A2105">
              <w:rPr>
                <w:color w:val="000000" w:themeColor="text1"/>
              </w:rPr>
              <w:t xml:space="preserve"> зауважень до Акту купівлі-продажу електричної енергії </w:t>
            </w:r>
            <w:r w:rsidR="009729DD" w:rsidRPr="008A2105">
              <w:rPr>
                <w:color w:val="000000" w:themeColor="text1"/>
              </w:rPr>
              <w:t xml:space="preserve">Споживач зобов’язаний </w:t>
            </w:r>
            <w:r w:rsidR="008316A6" w:rsidRPr="008A2105">
              <w:rPr>
                <w:color w:val="000000" w:themeColor="text1"/>
              </w:rPr>
              <w:t>підписати його за умовами Договору</w:t>
            </w:r>
            <w:r w:rsidR="00FA4961" w:rsidRPr="008A2105">
              <w:rPr>
                <w:color w:val="000000" w:themeColor="text1"/>
              </w:rPr>
              <w:t xml:space="preserve"> та повернути Постачальнику не пізніше 15 (п’ятнадцятого) числа місяця, наступного за розрахунковим періодом. </w:t>
            </w:r>
          </w:p>
          <w:p w14:paraId="5EBD476A" w14:textId="01EEDC31" w:rsidR="00962B8E" w:rsidRPr="008A2105" w:rsidRDefault="00962B8E" w:rsidP="004C372C">
            <w:pPr>
              <w:pStyle w:val="2"/>
              <w:ind w:right="-1"/>
              <w:rPr>
                <w:color w:val="000000" w:themeColor="text1"/>
              </w:rPr>
            </w:pPr>
            <w:r w:rsidRPr="008A2105">
              <w:rPr>
                <w:color w:val="000000" w:themeColor="text1"/>
              </w:rPr>
              <w:t>Умови обміну та отримання документів визначено Договором.</w:t>
            </w:r>
          </w:p>
        </w:tc>
      </w:tr>
      <w:tr w:rsidR="005702C1" w:rsidRPr="003303CA" w14:paraId="4C72E3A4" w14:textId="77777777" w:rsidTr="00D140B5">
        <w:trPr>
          <w:jc w:val="center"/>
        </w:trPr>
        <w:tc>
          <w:tcPr>
            <w:tcW w:w="2122" w:type="dxa"/>
            <w:vAlign w:val="center"/>
          </w:tcPr>
          <w:p w14:paraId="28A0C61D" w14:textId="6197B84D" w:rsidR="00646478" w:rsidRPr="008A2105" w:rsidRDefault="00646478" w:rsidP="008A2105">
            <w:pPr>
              <w:pStyle w:val="a6"/>
              <w:numPr>
                <w:ilvl w:val="0"/>
                <w:numId w:val="17"/>
              </w:numPr>
              <w:ind w:left="0" w:right="-1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2105">
              <w:rPr>
                <w:rStyle w:val="fontstyle21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</w:t>
            </w:r>
            <w:r w:rsidRPr="008A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посіб оплати</w:t>
            </w:r>
            <w:r w:rsidR="007E2F8B" w:rsidRPr="008A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постачальнику</w:t>
            </w:r>
          </w:p>
          <w:p w14:paraId="54ECAB4D" w14:textId="1353E43E" w:rsidR="005702C1" w:rsidRPr="003303CA" w:rsidRDefault="005702C1" w:rsidP="004C372C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vAlign w:val="center"/>
          </w:tcPr>
          <w:p w14:paraId="0ED99697" w14:textId="236BDE3D" w:rsidR="005702C1" w:rsidRPr="00DA5E50" w:rsidRDefault="0008366C" w:rsidP="004C372C">
            <w:pPr>
              <w:pStyle w:val="a3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умовами договору</w:t>
            </w:r>
            <w:r w:rsidR="004C110C" w:rsidRPr="008A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Оплата здійснюється у</w:t>
            </w:r>
            <w:r w:rsidR="00BD4265" w:rsidRPr="008A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  <w:r w:rsidR="00C55DA6" w:rsidRPr="008A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езготівковій формі</w:t>
            </w:r>
            <w:r w:rsidR="00490A4F" w:rsidRPr="008A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поточного рахунку </w:t>
            </w:r>
            <w:r w:rsidR="004C110C" w:rsidRPr="008A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490A4F" w:rsidRPr="008A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поживача на поточний рахунок із спеціальним режимом використання</w:t>
            </w:r>
            <w:r w:rsidR="004C110C" w:rsidRPr="008A2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Постачальника</w:t>
            </w:r>
            <w:r w:rsidR="004C110C" w:rsidRPr="00DA5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46478" w:rsidRPr="003303CA" w14:paraId="72EBAC01" w14:textId="77777777" w:rsidTr="00D140B5">
        <w:trPr>
          <w:jc w:val="center"/>
        </w:trPr>
        <w:tc>
          <w:tcPr>
            <w:tcW w:w="2122" w:type="dxa"/>
            <w:vAlign w:val="center"/>
          </w:tcPr>
          <w:p w14:paraId="3F1086AF" w14:textId="35C4D944" w:rsidR="00646478" w:rsidRPr="008A2105" w:rsidRDefault="009101C4" w:rsidP="008A2105">
            <w:pPr>
              <w:pStyle w:val="a6"/>
              <w:numPr>
                <w:ilvl w:val="0"/>
                <w:numId w:val="17"/>
              </w:numPr>
              <w:ind w:left="0" w:right="-1" w:firstLine="0"/>
              <w:rPr>
                <w:rStyle w:val="fontstyle21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Визначення способу оплати послуг з розподілу</w:t>
            </w:r>
            <w:r w:rsidR="00721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та </w:t>
            </w:r>
            <w:r w:rsidR="00E43083" w:rsidRPr="008A2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передачі </w:t>
            </w:r>
          </w:p>
        </w:tc>
        <w:tc>
          <w:tcPr>
            <w:tcW w:w="7654" w:type="dxa"/>
            <w:vAlign w:val="center"/>
          </w:tcPr>
          <w:p w14:paraId="046A0913" w14:textId="2C21E692" w:rsidR="007E2F8B" w:rsidRPr="00DA5E50" w:rsidRDefault="007E2F8B" w:rsidP="004C372C">
            <w:pPr>
              <w:pStyle w:val="a3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</w:t>
            </w:r>
            <w:r w:rsidR="008D4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A5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послуг з розподілу електричної енергії з оператором системи </w:t>
            </w:r>
            <w:r w:rsidR="00F31F9B" w:rsidRPr="00DA5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здійснюється </w:t>
            </w:r>
            <w:r w:rsidR="00707770" w:rsidRPr="00DA5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(обрати: самостійно або через постачальника)</w:t>
            </w:r>
          </w:p>
          <w:p w14:paraId="3718B4C5" w14:textId="77777777" w:rsidR="00613965" w:rsidRPr="00DA5E50" w:rsidRDefault="00613965" w:rsidP="004C372C">
            <w:pPr>
              <w:pStyle w:val="a3"/>
              <w:ind w:right="-1"/>
              <w:jc w:val="both"/>
              <w:rPr>
                <w:color w:val="000000" w:themeColor="text1"/>
              </w:rPr>
            </w:pPr>
          </w:p>
          <w:p w14:paraId="780BACA8" w14:textId="79821F04" w:rsidR="00613965" w:rsidRPr="00DA5E50" w:rsidRDefault="00613965" w:rsidP="004C372C">
            <w:pPr>
              <w:pStyle w:val="a3"/>
              <w:ind w:right="-1"/>
              <w:jc w:val="both"/>
              <w:rPr>
                <w:color w:val="000000" w:themeColor="text1"/>
              </w:rPr>
            </w:pPr>
            <w:r w:rsidRPr="00DA5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Оплати послуг </w:t>
            </w:r>
            <w:r w:rsidR="00DA5E50" w:rsidRPr="00DA5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 передачі електричної енергії</w:t>
            </w:r>
            <w:r w:rsidRPr="00DA5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здійснюється (обрати: самостійно або через постачальника)</w:t>
            </w:r>
          </w:p>
        </w:tc>
      </w:tr>
      <w:tr w:rsidR="005702C1" w:rsidRPr="003303CA" w14:paraId="2D874222" w14:textId="77777777" w:rsidTr="00D140B5">
        <w:trPr>
          <w:jc w:val="center"/>
        </w:trPr>
        <w:tc>
          <w:tcPr>
            <w:tcW w:w="2122" w:type="dxa"/>
            <w:vAlign w:val="center"/>
          </w:tcPr>
          <w:p w14:paraId="6E93DAAD" w14:textId="7087FA79" w:rsidR="005702C1" w:rsidRPr="00F6260E" w:rsidRDefault="005702C1" w:rsidP="00F6260E">
            <w:pPr>
              <w:pStyle w:val="a6"/>
              <w:numPr>
                <w:ilvl w:val="0"/>
                <w:numId w:val="17"/>
              </w:numPr>
              <w:ind w:left="0" w:right="-1" w:firstLine="0"/>
              <w:rPr>
                <w:rStyle w:val="fontstyle21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6260E">
              <w:rPr>
                <w:rStyle w:val="fontstyle21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Розрахунок небалансу  споживання, що перевищує </w:t>
            </w:r>
            <w:r w:rsidR="00224925" w:rsidRPr="00F6260E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</w:t>
            </w:r>
            <w:r w:rsidR="00FC1EC8" w:rsidRPr="00F6260E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  <w:r w:rsidRPr="00F6260E">
              <w:rPr>
                <w:rStyle w:val="fontstyle2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F6260E">
              <w:rPr>
                <w:rStyle w:val="fontstyle21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замовленого обсягу електр</w:t>
            </w:r>
            <w:r w:rsidR="00FC1EC8" w:rsidRPr="00F6260E">
              <w:rPr>
                <w:rStyle w:val="fontstyle21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ичної </w:t>
            </w:r>
            <w:r w:rsidRPr="00F6260E">
              <w:rPr>
                <w:rStyle w:val="fontstyle21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енергії</w:t>
            </w:r>
            <w:r w:rsidR="00707770" w:rsidRPr="00F6260E">
              <w:rPr>
                <w:rStyle w:val="fontstyle21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(то</w:t>
            </w:r>
            <w:r w:rsidR="00B259E2" w:rsidRPr="00F6260E">
              <w:rPr>
                <w:rStyle w:val="fontstyle21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леранс)</w:t>
            </w:r>
          </w:p>
        </w:tc>
        <w:tc>
          <w:tcPr>
            <w:tcW w:w="7654" w:type="dxa"/>
            <w:vAlign w:val="center"/>
          </w:tcPr>
          <w:p w14:paraId="3938FF5B" w14:textId="74BE767A" w:rsidR="00401BE0" w:rsidRPr="003303CA" w:rsidRDefault="00401BE0" w:rsidP="004C372C">
            <w:pPr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Формула розрахунку компенсації вартості </w:t>
            </w:r>
            <w:r w:rsidRPr="00E43512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позитивних</w:t>
            </w:r>
            <w:r w:rsidRPr="003303CA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 xml:space="preserve"> </w:t>
            </w:r>
            <w:r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небалансів (</w:t>
            </w:r>
            <w:r w:rsidR="00480DB6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обсяг</w:t>
            </w:r>
            <w:r w:rsidR="00A856A9" w:rsidRPr="00B5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480DB6" w:rsidRPr="00B5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електричної енергії </w:t>
            </w:r>
            <w:r w:rsidRPr="00B5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спожито </w:t>
            </w:r>
            <w:r w:rsidR="00480DB6" w:rsidRPr="00B5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Споживачем </w:t>
            </w:r>
            <w:r w:rsidRPr="00B5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більше, ніж узгоджено)</w:t>
            </w:r>
            <w:r w:rsidR="009312CB" w:rsidRPr="00B5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  <w:r w:rsidRPr="00B5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5AA91E19" w14:textId="77777777" w:rsidR="00401BE0" w:rsidRPr="003303CA" w:rsidRDefault="008E7DC7" w:rsidP="004C372C">
            <w:pPr>
              <w:ind w:right="-1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22222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бр+</m:t>
                  </m:r>
                </m:sub>
              </m:sSub>
              <m:r>
                <w:rPr>
                  <w:rFonts w:ascii="Cambria Math" w:hAnsi="Cambria Math" w:cs="Times New Roman"/>
                  <w:color w:val="222222"/>
                  <w:sz w:val="24"/>
                  <w:szCs w:val="24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222222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(Ц</m:t>
                  </m:r>
                </m:e>
                <m:sub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брt</m:t>
                  </m:r>
                </m:sub>
              </m:sSub>
              <m:r>
                <w:rPr>
                  <w:rFonts w:ascii="Cambria Math" w:hAnsi="Cambria Math" w:cs="Times New Roman"/>
                  <w:color w:val="222222"/>
                  <w:sz w:val="24"/>
                  <w:szCs w:val="24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22222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рдн</m:t>
                  </m:r>
                </m:sub>
              </m:sSub>
              <m:r>
                <w:rPr>
                  <w:rFonts w:ascii="Cambria Math" w:hAnsi="Cambria Math" w:cs="Times New Roman"/>
                  <w:color w:val="222222"/>
                  <w:sz w:val="24"/>
                  <w:szCs w:val="24"/>
                  <w:lang w:val="uk-UA"/>
                </w:rPr>
                <m:t>)*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22222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(W</m:t>
                  </m:r>
                </m:e>
                <m:sub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брt</m:t>
                  </m:r>
                </m:sub>
              </m:sSub>
              <m:r>
                <w:rPr>
                  <w:rFonts w:ascii="Cambria Math" w:hAnsi="Cambria Math" w:cs="Times New Roman"/>
                  <w:color w:val="222222"/>
                  <w:sz w:val="24"/>
                  <w:szCs w:val="24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22222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 W</m:t>
                  </m:r>
                </m:e>
                <m:sub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рдн 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color w:val="222222"/>
                  <w:sz w:val="24"/>
                  <w:szCs w:val="24"/>
                  <w:lang w:val="uk-UA"/>
                </w:rPr>
                <m:t>) </m:t>
              </m:r>
            </m:oMath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де,</w:t>
            </w:r>
          </w:p>
          <w:p w14:paraId="24F48F55" w14:textId="68ED9503" w:rsidR="00401BE0" w:rsidRPr="003303CA" w:rsidRDefault="008E7DC7" w:rsidP="004C372C">
            <w:pPr>
              <w:ind w:right="-1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22222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брt</m:t>
                  </m:r>
                </m:sub>
              </m:sSub>
            </m:oMath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– ціна, що склалася на </w:t>
            </w:r>
            <w:r w:rsidR="00401BE0" w:rsidRPr="00E43512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профіцитному 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балансуючому ринку у відповідну годину</w:t>
            </w:r>
            <w:r w:rsidR="0001113E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доби</w:t>
            </w:r>
            <w:r w:rsidR="00F2291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, грн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;</w:t>
            </w:r>
          </w:p>
          <w:p w14:paraId="552B7915" w14:textId="16258DC4" w:rsidR="00401BE0" w:rsidRPr="003303CA" w:rsidRDefault="008E7DC7" w:rsidP="004C372C">
            <w:pPr>
              <w:ind w:right="-1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рдн</m:t>
                  </m:r>
                </m:sub>
              </m:sSub>
            </m:oMath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– сума добутків споживання </w:t>
            </w:r>
            <w:r w:rsidR="00F2291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електричної енергії</w:t>
            </w:r>
            <w:r w:rsidR="00976752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="005819B1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у</w:t>
            </w:r>
            <w:r w:rsidR="00F2291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певн</w:t>
            </w:r>
            <w:r w:rsidR="005819B1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ій</w:t>
            </w:r>
            <w:r w:rsidR="00F2291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="005819B1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годині</w:t>
            </w:r>
            <w:r w:rsidR="00F2291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доби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та ціни електр</w:t>
            </w:r>
            <w:r w:rsidR="005819B1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ичної 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енергії за </w:t>
            </w:r>
            <w:r w:rsidR="005819B1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цю годину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, </w:t>
            </w:r>
            <w:r w:rsidR="00F2291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що </w:t>
            </w:r>
            <w:r w:rsidR="00220D74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сформувалася</w:t>
            </w:r>
            <w:r w:rsidR="00F2291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на ринку на добу наперед (РДН), погодинно</w:t>
            </w:r>
            <w:r w:rsidR="005B7465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,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за </w:t>
            </w:r>
            <w:r w:rsidR="005B7465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розрахунковий 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період , опублікованих Оператором Ринку на сайті</w:t>
            </w:r>
            <w:r w:rsidR="005B7465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: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="00401BE0" w:rsidRPr="00A176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https://www.oree.com.ua/index.php/pricectr</w:t>
              </w:r>
            </w:hyperlink>
            <w:r w:rsidR="00832346" w:rsidRPr="001161B7">
              <w:rPr>
                <w:rStyle w:val="a5"/>
              </w:rPr>
              <w:t>,</w:t>
            </w:r>
            <w:r w:rsidR="00832346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грн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;</w:t>
            </w:r>
          </w:p>
          <w:p w14:paraId="7FD10639" w14:textId="0696708F" w:rsidR="00401BE0" w:rsidRPr="003303CA" w:rsidRDefault="008E7DC7" w:rsidP="004C372C">
            <w:pPr>
              <w:ind w:right="-1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22222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брt</m:t>
                  </m:r>
                </m:sub>
              </m:sSub>
            </m:oMath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– небаланси </w:t>
            </w:r>
            <w:r w:rsidR="00A22E95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споживача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за рахунок фактичного споживання е/е у відповідну годину </w:t>
            </w:r>
            <w:r w:rsidR="00D03C5B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доби</w:t>
            </w:r>
            <w:r w:rsidR="00FA5F3B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, </w:t>
            </w:r>
            <w:r w:rsidR="00582469" w:rsidRPr="0033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кВт.год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;</w:t>
            </w:r>
          </w:p>
          <w:p w14:paraId="10E8B29E" w14:textId="7F603041" w:rsidR="00401BE0" w:rsidRPr="003303CA" w:rsidRDefault="008E7DC7" w:rsidP="004C372C">
            <w:pPr>
              <w:ind w:right="-1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22222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 W</m:t>
                  </m:r>
                </m:e>
                <m:sub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рдн 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T</m:t>
                  </m:r>
                </m:sub>
              </m:sSub>
            </m:oMath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– об</w:t>
            </w:r>
            <w:r w:rsidR="00765147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сяг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="00765147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електричної енергії, що </w:t>
            </w:r>
            <w:r w:rsidR="00F6260E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спожитий</w:t>
            </w:r>
            <w:r w:rsidR="00765147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="001329E8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Споживачем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у відповідну годину часу</w:t>
            </w:r>
            <w:r w:rsidR="00160E3F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із врахуванням 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узгодженого рівня толерансу</w:t>
            </w:r>
            <w:r w:rsidR="0001113E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, кВт.год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</w:p>
          <w:p w14:paraId="5CD5C2A5" w14:textId="77777777" w:rsidR="008B7C07" w:rsidRPr="003303CA" w:rsidRDefault="008B7C07" w:rsidP="004C372C">
            <w:pPr>
              <w:ind w:right="-1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14:paraId="4A191F41" w14:textId="4395EFD3" w:rsidR="00401BE0" w:rsidRPr="003303CA" w:rsidRDefault="00401BE0" w:rsidP="004C372C">
            <w:pPr>
              <w:ind w:right="-1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Формула розрахунку компенсації вартості </w:t>
            </w:r>
            <w:r w:rsidRPr="001161B7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негативних</w:t>
            </w:r>
            <w:r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небалансів (</w:t>
            </w:r>
            <w:r w:rsidR="00160E3F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обсягів електричної енергії </w:t>
            </w:r>
            <w:r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спожито менше, ніж узгоджено)</w:t>
            </w:r>
            <w:r w:rsidR="00160E3F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, грн.</w:t>
            </w:r>
            <w:r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:</w:t>
            </w:r>
          </w:p>
          <w:p w14:paraId="40D0E1DF" w14:textId="77777777" w:rsidR="00401BE0" w:rsidRPr="003303CA" w:rsidRDefault="008E7DC7" w:rsidP="004C372C">
            <w:pPr>
              <w:ind w:right="-1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22222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бр-</m:t>
                  </m:r>
                </m:sub>
              </m:sSub>
              <m:r>
                <w:rPr>
                  <w:rFonts w:ascii="Cambria Math" w:hAnsi="Cambria Math" w:cs="Times New Roman"/>
                  <w:color w:val="222222"/>
                  <w:sz w:val="24"/>
                  <w:szCs w:val="24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22222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(Ц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рдн</m:t>
                  </m:r>
                </m:sub>
              </m:sSub>
              <m:r>
                <w:rPr>
                  <w:rFonts w:ascii="Cambria Math" w:hAnsi="Cambria Math" w:cs="Times New Roman"/>
                  <w:color w:val="222222"/>
                  <w:sz w:val="24"/>
                  <w:szCs w:val="24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22222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брt</m:t>
                  </m:r>
                </m:sub>
              </m:sSub>
              <m:r>
                <w:rPr>
                  <w:rFonts w:ascii="Cambria Math" w:hAnsi="Cambria Math" w:cs="Times New Roman"/>
                  <w:color w:val="222222"/>
                  <w:sz w:val="24"/>
                  <w:szCs w:val="24"/>
                  <w:lang w:val="uk-UA"/>
                </w:rPr>
                <m:t>)*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22222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(W</m:t>
                  </m:r>
                </m:e>
                <m:sub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рдн 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color w:val="222222"/>
                  <w:sz w:val="24"/>
                  <w:szCs w:val="24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22222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 W</m:t>
                  </m:r>
                </m:e>
                <m:sub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брt</m:t>
                  </m:r>
                </m:sub>
              </m:sSub>
              <m:r>
                <w:rPr>
                  <w:rFonts w:ascii="Cambria Math" w:hAnsi="Cambria Math" w:cs="Times New Roman"/>
                  <w:color w:val="222222"/>
                  <w:sz w:val="24"/>
                  <w:szCs w:val="24"/>
                  <w:lang w:val="uk-UA"/>
                </w:rPr>
                <m:t>)</m:t>
              </m:r>
            </m:oMath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де,</w:t>
            </w:r>
          </w:p>
          <w:p w14:paraId="2875F903" w14:textId="737DB412" w:rsidR="00401BE0" w:rsidRPr="003303CA" w:rsidRDefault="008E7DC7" w:rsidP="004C372C">
            <w:pPr>
              <w:ind w:right="-1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рдн</m:t>
                  </m:r>
                </m:sub>
              </m:sSub>
            </m:oMath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– сума добутків споживання в певн</w:t>
            </w:r>
            <w:r w:rsidR="00D356CB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ій годині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доб</w:t>
            </w:r>
            <w:r w:rsidR="00D356CB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и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та ціни електр</w:t>
            </w:r>
            <w:r w:rsidR="00D356CB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ичної 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енергії за </w:t>
            </w:r>
            <w:r w:rsidR="00D356CB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цю годину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, </w:t>
            </w:r>
            <w:r w:rsidR="00220D74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що сформувалася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на ринку на добу наперед (РДН), погодинно</w:t>
            </w:r>
            <w:r w:rsidR="00220D74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,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за </w:t>
            </w:r>
            <w:r w:rsidR="00220D74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розрахунковий 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період , опублікованих Оператором Ринку на сайті </w:t>
            </w:r>
            <w:hyperlink r:id="rId12" w:history="1">
              <w:r w:rsidR="00401BE0" w:rsidRPr="00A176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https://www.oree.com.ua/index.php/pricectr</w:t>
              </w:r>
            </w:hyperlink>
            <w:r w:rsidR="007C11BD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, грн.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;</w:t>
            </w:r>
          </w:p>
          <w:p w14:paraId="50DEA920" w14:textId="10DC7790" w:rsidR="00401BE0" w:rsidRPr="003303CA" w:rsidRDefault="008E7DC7" w:rsidP="004C372C">
            <w:pPr>
              <w:ind w:right="-1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22222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брt</m:t>
                  </m:r>
                </m:sub>
              </m:sSub>
            </m:oMath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– ціна, що склалася на </w:t>
            </w:r>
            <w:r w:rsidR="00401BE0" w:rsidRPr="001161B7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дефіцитному 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балансуючому ринку у відповідну годину</w:t>
            </w:r>
            <w:r w:rsidR="00F55009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доби</w:t>
            </w:r>
            <w:r w:rsidR="007C11BD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, грн.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;</w:t>
            </w:r>
          </w:p>
          <w:p w14:paraId="090B23F1" w14:textId="508E3706" w:rsidR="00401BE0" w:rsidRPr="003303CA" w:rsidRDefault="008E7DC7" w:rsidP="004C372C">
            <w:pPr>
              <w:ind w:right="-1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22222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 W</m:t>
                  </m:r>
                </m:e>
                <m:sub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рдн 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T</m:t>
                  </m:r>
                </m:sub>
              </m:sSub>
            </m:oMath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– об</w:t>
            </w:r>
            <w:r w:rsidR="00F55009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сяг</w:t>
            </w:r>
            <w:r w:rsidR="001161B7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споживання </w:t>
            </w:r>
            <w:r w:rsidR="00C32CBE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електричної енергії </w:t>
            </w:r>
            <w:r w:rsidR="00953E07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споживача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у відповідну годину </w:t>
            </w:r>
            <w:r w:rsidR="00C32CBE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доби</w:t>
            </w:r>
            <w:r w:rsidR="00D03C5B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із врахуванням 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узгодженого рівня толерансу</w:t>
            </w:r>
            <w:r w:rsidR="007C11BD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, кВт.год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;</w:t>
            </w:r>
          </w:p>
          <w:p w14:paraId="0B6E9CEF" w14:textId="77777777" w:rsidR="005702C1" w:rsidRPr="003303CA" w:rsidRDefault="008E7DC7" w:rsidP="004C372C">
            <w:pPr>
              <w:ind w:right="-1"/>
              <w:rPr>
                <w:rStyle w:val="fontstyle21"/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222222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lang w:val="uk-UA"/>
                    </w:rPr>
                    <m:t>брt</m:t>
                  </m:r>
                </m:sub>
              </m:sSub>
            </m:oMath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– небаланси </w:t>
            </w:r>
            <w:r w:rsidR="00953E07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споживача</w:t>
            </w:r>
            <w:r w:rsidR="00401BE0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за р</w:t>
            </w:r>
            <w:r w:rsidR="00953E07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ахунок фактичного споживання електричної енергії у відповідну годину часу</w:t>
            </w:r>
            <w:r w:rsidR="007C11BD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, кВт.год</w:t>
            </w:r>
            <w:r w:rsidR="00953E07"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</w:p>
        </w:tc>
      </w:tr>
      <w:tr w:rsidR="007E2F8B" w:rsidRPr="003303CA" w14:paraId="665CBC2F" w14:textId="77777777" w:rsidTr="00D140B5">
        <w:trPr>
          <w:jc w:val="center"/>
        </w:trPr>
        <w:tc>
          <w:tcPr>
            <w:tcW w:w="2122" w:type="dxa"/>
            <w:vAlign w:val="center"/>
          </w:tcPr>
          <w:p w14:paraId="59F1821D" w14:textId="15822411" w:rsidR="007E2F8B" w:rsidRPr="003D77CB" w:rsidRDefault="00490A4F" w:rsidP="004C372C">
            <w:pPr>
              <w:pStyle w:val="a6"/>
              <w:numPr>
                <w:ilvl w:val="0"/>
                <w:numId w:val="17"/>
              </w:numPr>
              <w:ind w:left="0" w:right="-1" w:firstLine="0"/>
              <w:rPr>
                <w:rStyle w:val="fontstyle21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D7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</w:t>
            </w:r>
            <w:r w:rsidR="007E2F8B" w:rsidRPr="003D7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озмір пені за порушення строку </w:t>
            </w:r>
            <w:r w:rsidR="007E2F8B" w:rsidRPr="003D7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оплати або штраф</w:t>
            </w:r>
          </w:p>
        </w:tc>
        <w:tc>
          <w:tcPr>
            <w:tcW w:w="7654" w:type="dxa"/>
            <w:vAlign w:val="center"/>
          </w:tcPr>
          <w:p w14:paraId="211965A2" w14:textId="1C13A8C3" w:rsidR="007E2F8B" w:rsidRPr="003303CA" w:rsidRDefault="008B7C07" w:rsidP="004C372C">
            <w:pPr>
              <w:ind w:right="-1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303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>За умовами договору</w:t>
            </w:r>
          </w:p>
        </w:tc>
      </w:tr>
      <w:tr w:rsidR="005702C1" w:rsidRPr="003303CA" w14:paraId="189A4AE7" w14:textId="77777777" w:rsidTr="00D140B5">
        <w:trPr>
          <w:jc w:val="center"/>
        </w:trPr>
        <w:tc>
          <w:tcPr>
            <w:tcW w:w="2122" w:type="dxa"/>
            <w:vAlign w:val="center"/>
          </w:tcPr>
          <w:p w14:paraId="41C9F288" w14:textId="555410A4" w:rsidR="005702C1" w:rsidRPr="003D77CB" w:rsidRDefault="005702C1" w:rsidP="003D77CB">
            <w:pPr>
              <w:pStyle w:val="a6"/>
              <w:numPr>
                <w:ilvl w:val="0"/>
                <w:numId w:val="17"/>
              </w:numPr>
              <w:ind w:left="0" w:right="-1" w:firstLine="0"/>
              <w:rPr>
                <w:rStyle w:val="fontstyle21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D77CB">
              <w:rPr>
                <w:rStyle w:val="fontstyle21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Строк дії договору та умови</w:t>
            </w:r>
            <w:r w:rsidRPr="003D7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3D77CB">
              <w:rPr>
                <w:rStyle w:val="fontstyle21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пролонгації</w:t>
            </w:r>
          </w:p>
        </w:tc>
        <w:tc>
          <w:tcPr>
            <w:tcW w:w="7654" w:type="dxa"/>
            <w:vAlign w:val="center"/>
          </w:tcPr>
          <w:p w14:paraId="331DC84F" w14:textId="775DF358" w:rsidR="005702C1" w:rsidRPr="003303CA" w:rsidRDefault="00804C49" w:rsidP="004C372C">
            <w:pPr>
              <w:ind w:right="-1"/>
              <w:jc w:val="both"/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3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Цей Договір набирає чинності з моменту його підписання Сторонами </w:t>
            </w:r>
            <w:r w:rsidR="003B2A2B" w:rsidRPr="004D396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та </w:t>
            </w:r>
            <w:r w:rsidR="000016DF" w:rsidRPr="004D396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діє </w:t>
            </w:r>
            <w:r w:rsidR="003B2A2B" w:rsidRPr="004D396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31 грудня 2022 року. Договір вважається пролонгован</w:t>
            </w:r>
            <w:r w:rsidR="00045F81" w:rsidRPr="004D396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им</w:t>
            </w:r>
            <w:r w:rsidR="003B2A2B" w:rsidRPr="004D396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</w:t>
            </w:r>
            <w:r w:rsidR="0069125D" w:rsidRPr="004D396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кожний </w:t>
            </w:r>
            <w:r w:rsidR="003B2A2B" w:rsidRPr="004D396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наступний календарний рік, якщо </w:t>
            </w:r>
            <w:r w:rsidR="00045F81" w:rsidRPr="004D396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жодна із Сторін не звернулася </w:t>
            </w:r>
            <w:r w:rsidR="0069125D" w:rsidRPr="004D396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із заявою про його припинення не пізніше ніж</w:t>
            </w:r>
            <w:r w:rsidR="00002244" w:rsidRPr="004D396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</w:t>
            </w:r>
            <w:r w:rsidR="0069125D" w:rsidRPr="004D396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510E6" w:rsidRPr="004D3966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 днів до дати припинення.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4641"/>
        <w:gridCol w:w="4728"/>
        <w:gridCol w:w="411"/>
      </w:tblGrid>
      <w:tr w:rsidR="004B60CC" w:rsidRPr="003303CA" w14:paraId="635CCB93" w14:textId="77777777" w:rsidTr="00111337">
        <w:tc>
          <w:tcPr>
            <w:tcW w:w="5000" w:type="pct"/>
            <w:gridSpan w:val="3"/>
            <w:shd w:val="clear" w:color="auto" w:fill="auto"/>
            <w:vAlign w:val="center"/>
          </w:tcPr>
          <w:p w14:paraId="5FDFE026" w14:textId="77777777" w:rsidR="00E6510E" w:rsidRPr="003303CA" w:rsidRDefault="00E6510E" w:rsidP="004C372C">
            <w:pPr>
              <w:widowControl w:val="0"/>
              <w:snapToGri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2AA6FDA1" w14:textId="65DA909A" w:rsidR="004B60CC" w:rsidRPr="003303CA" w:rsidRDefault="004B60CC" w:rsidP="004C372C">
            <w:pPr>
              <w:widowControl w:val="0"/>
              <w:snapToGrid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03C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D396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3303C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ПІДПИСИ, ПОШТОВІ ТА БАНКІВСЬКІ РЕКВІЗИТИ СТОРІН:</w:t>
            </w:r>
          </w:p>
        </w:tc>
      </w:tr>
      <w:tr w:rsidR="00111337" w:rsidRPr="003303CA" w14:paraId="41C3406E" w14:textId="77777777" w:rsidTr="004C3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pct"/>
          <w:trHeight w:val="427"/>
        </w:trPr>
        <w:tc>
          <w:tcPr>
            <w:tcW w:w="2373" w:type="pct"/>
            <w:vAlign w:val="center"/>
          </w:tcPr>
          <w:p w14:paraId="79FAA82E" w14:textId="77777777" w:rsidR="00111337" w:rsidRPr="004C386B" w:rsidRDefault="00111337" w:rsidP="004C3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38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Постачальник:</w:t>
            </w:r>
          </w:p>
          <w:p w14:paraId="2012EE7D" w14:textId="77777777" w:rsidR="00111337" w:rsidRPr="003303CA" w:rsidRDefault="00111337" w:rsidP="004C386B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C38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 «</w:t>
            </w:r>
            <w:r w:rsidR="00F22910" w:rsidRPr="004C38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СОЛІПАУЕР</w:t>
            </w:r>
            <w:r w:rsidRPr="004C38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5DF6024E" w14:textId="512F4E1D" w:rsidR="00111337" w:rsidRPr="004C386B" w:rsidRDefault="00111337" w:rsidP="004C386B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4C38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Споживач:</w:t>
            </w:r>
          </w:p>
        </w:tc>
      </w:tr>
      <w:tr w:rsidR="00111337" w:rsidRPr="003303CA" w14:paraId="74181BFB" w14:textId="77777777" w:rsidTr="004D3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pct"/>
          <w:trHeight w:val="2587"/>
        </w:trPr>
        <w:tc>
          <w:tcPr>
            <w:tcW w:w="2373" w:type="pct"/>
            <w:vAlign w:val="center"/>
          </w:tcPr>
          <w:p w14:paraId="7A8B8A7C" w14:textId="0A9CCC7D" w:rsidR="00953E07" w:rsidRPr="003303CA" w:rsidRDefault="00953E07" w:rsidP="004C38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30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Місцезнаходження:</w:t>
            </w:r>
          </w:p>
          <w:p w14:paraId="564C9EAC" w14:textId="77777777" w:rsidR="00953E07" w:rsidRPr="003303CA" w:rsidRDefault="00953E07" w:rsidP="004C38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30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03035, Україна, м. Київ, вул. Липківського Василя Митрополита, 45, офіс 402</w:t>
            </w:r>
          </w:p>
          <w:p w14:paraId="54700E6A" w14:textId="77777777" w:rsidR="00953E07" w:rsidRPr="003303CA" w:rsidRDefault="00953E07" w:rsidP="004C38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30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Код за ЄДРПОУ 44382156</w:t>
            </w:r>
          </w:p>
          <w:p w14:paraId="4F3E469B" w14:textId="77777777" w:rsidR="0045279E" w:rsidRPr="003303CA" w:rsidRDefault="00953E07" w:rsidP="004C38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30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ІПН 443821526586</w:t>
            </w:r>
          </w:p>
          <w:p w14:paraId="3316773C" w14:textId="5F4BF937" w:rsidR="00953E07" w:rsidRPr="003303CA" w:rsidRDefault="0045279E" w:rsidP="004C38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30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</w:t>
            </w:r>
            <w:r w:rsidR="00953E07" w:rsidRPr="00330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латник податку на прибуток підприємств на загальних підставах </w:t>
            </w:r>
          </w:p>
          <w:p w14:paraId="7FE9091E" w14:textId="5D2C6410" w:rsidR="00953E07" w:rsidRPr="003303CA" w:rsidRDefault="0045279E" w:rsidP="004C38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30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Поточний рахунок із спеціальним режимом використання</w:t>
            </w:r>
            <w:r w:rsidR="00265FCD" w:rsidRPr="00330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:</w:t>
            </w:r>
            <w:r w:rsidR="00953E07" w:rsidRPr="00330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432814" w:rsidRPr="00330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UA</w:t>
            </w:r>
            <w:r w:rsidRPr="00330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793204780000026032924912459</w:t>
            </w:r>
            <w:r w:rsidR="00432814" w:rsidRPr="00330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в АБ «Укргазбанк», м. Київ,  МФО 320478</w:t>
            </w:r>
          </w:p>
          <w:p w14:paraId="6435A71F" w14:textId="77777777" w:rsidR="00111337" w:rsidRDefault="00953E07" w:rsidP="004C3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+38(066) 969-76-05</w:t>
            </w:r>
          </w:p>
          <w:p w14:paraId="3844FDD1" w14:textId="6BF0CF24" w:rsidR="00AE2023" w:rsidRPr="003303CA" w:rsidRDefault="008E7DC7" w:rsidP="004C386B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3" w:history="1">
              <w:r w:rsidR="00AE2023" w:rsidRPr="003303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tech@solipower.com.ua</w:t>
              </w:r>
            </w:hyperlink>
          </w:p>
        </w:tc>
        <w:tc>
          <w:tcPr>
            <w:tcW w:w="2417" w:type="pct"/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512"/>
            </w:tblGrid>
            <w:tr w:rsidR="00111337" w:rsidRPr="006D6B0B" w14:paraId="6677ACCC" w14:textId="77777777" w:rsidTr="00953E07">
              <w:trPr>
                <w:trHeight w:val="636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49CA06E7" w14:textId="51C850F7" w:rsidR="00111337" w:rsidRPr="004C386B" w:rsidRDefault="00111337" w:rsidP="00AF554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0E808918" w14:textId="1542F687" w:rsidR="00111337" w:rsidRPr="003303CA" w:rsidRDefault="00111337" w:rsidP="004C386B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11337" w:rsidRPr="003303CA" w14:paraId="727C8810" w14:textId="77777777" w:rsidTr="004D3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pct"/>
          <w:trHeight w:val="1253"/>
        </w:trPr>
        <w:tc>
          <w:tcPr>
            <w:tcW w:w="2373" w:type="pct"/>
            <w:vAlign w:val="center"/>
          </w:tcPr>
          <w:p w14:paraId="5BF66A36" w14:textId="19155AA4" w:rsidR="00111337" w:rsidRPr="003303CA" w:rsidRDefault="00111337" w:rsidP="004C372C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3303C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Директор</w:t>
            </w:r>
            <w:r w:rsidR="00F22910" w:rsidRPr="003303C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14:paraId="1755878A" w14:textId="77777777" w:rsidR="00111337" w:rsidRPr="003303CA" w:rsidRDefault="00111337" w:rsidP="004C372C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14:paraId="473D7E84" w14:textId="02105E71" w:rsidR="00111337" w:rsidRPr="003303CA" w:rsidRDefault="00111337" w:rsidP="004C372C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3303C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___________________ / </w:t>
            </w:r>
            <w:r w:rsidR="004C38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О.А. Оржель</w:t>
            </w:r>
          </w:p>
          <w:p w14:paraId="1D2B6F70" w14:textId="77777777" w:rsidR="00111337" w:rsidRPr="003303CA" w:rsidRDefault="00111337" w:rsidP="004C372C">
            <w:pPr>
              <w:spacing w:line="240" w:lineRule="auto"/>
              <w:ind w:right="-1"/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3C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             М.П.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265EDB3B" w14:textId="77777777" w:rsidR="00111337" w:rsidRPr="00AF554C" w:rsidRDefault="00111337" w:rsidP="004C372C">
            <w:pPr>
              <w:spacing w:line="240" w:lineRule="auto"/>
              <w:ind w:right="-1"/>
              <w:rPr>
                <w:rStyle w:val="fontstyle2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3303CA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="00F22910" w:rsidRPr="00AF554C">
              <w:rPr>
                <w:rStyle w:val="fontstyle2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Уповноважена особа</w:t>
            </w:r>
          </w:p>
          <w:p w14:paraId="5D663B2E" w14:textId="77777777" w:rsidR="004C386B" w:rsidRPr="003303CA" w:rsidRDefault="004C386B" w:rsidP="004C372C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14:paraId="200D1B1C" w14:textId="77777777" w:rsidR="00111337" w:rsidRPr="003303CA" w:rsidRDefault="00111337" w:rsidP="004C372C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3303C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_________________ /</w:t>
            </w:r>
          </w:p>
          <w:p w14:paraId="31D5CF40" w14:textId="77777777" w:rsidR="00111337" w:rsidRPr="003303CA" w:rsidRDefault="00111337" w:rsidP="004C372C">
            <w:pPr>
              <w:spacing w:line="240" w:lineRule="auto"/>
              <w:ind w:right="-1"/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3C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                М.П.</w:t>
            </w:r>
          </w:p>
        </w:tc>
      </w:tr>
    </w:tbl>
    <w:p w14:paraId="2E7CC866" w14:textId="77777777" w:rsidR="00111337" w:rsidRPr="003303CA" w:rsidRDefault="00111337" w:rsidP="004C372C">
      <w:pPr>
        <w:ind w:right="-1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</w:p>
    <w:p w14:paraId="5028416F" w14:textId="77777777" w:rsidR="004B30EE" w:rsidRPr="003303CA" w:rsidRDefault="004B30EE">
      <w:pPr>
        <w:ind w:right="-1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</w:p>
    <w:sectPr w:rsidR="004B30EE" w:rsidRPr="003303CA" w:rsidSect="00D140B5">
      <w:footerReference w:type="default" r:id="rId14"/>
      <w:pgSz w:w="11906" w:h="16838"/>
      <w:pgMar w:top="567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6573" w14:textId="77777777" w:rsidR="008E7DC7" w:rsidRDefault="008E7DC7" w:rsidP="002A7626">
      <w:pPr>
        <w:spacing w:after="0" w:line="240" w:lineRule="auto"/>
      </w:pPr>
      <w:r>
        <w:separator/>
      </w:r>
    </w:p>
  </w:endnote>
  <w:endnote w:type="continuationSeparator" w:id="0">
    <w:p w14:paraId="044430E6" w14:textId="77777777" w:rsidR="008E7DC7" w:rsidRDefault="008E7DC7" w:rsidP="002A7626">
      <w:pPr>
        <w:spacing w:after="0" w:line="240" w:lineRule="auto"/>
      </w:pPr>
      <w:r>
        <w:continuationSeparator/>
      </w:r>
    </w:p>
  </w:endnote>
  <w:endnote w:type="continuationNotice" w:id="1">
    <w:p w14:paraId="7B16A463" w14:textId="77777777" w:rsidR="008E7DC7" w:rsidRDefault="008E7D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B9DD" w14:textId="77777777" w:rsidR="00074473" w:rsidRPr="002A1AAA" w:rsidRDefault="00074473" w:rsidP="00074473">
    <w:pPr>
      <w:pStyle w:val="ad"/>
      <w:rPr>
        <w:rFonts w:ascii="Times New Roman" w:hAnsi="Times New Roman" w:cs="Times New Roman"/>
      </w:rPr>
    </w:pPr>
    <w:r w:rsidRPr="002A1AAA">
      <w:rPr>
        <w:rFonts w:ascii="Times New Roman" w:hAnsi="Times New Roman" w:cs="Times New Roman"/>
      </w:rPr>
      <w:t>___________________</w:t>
    </w:r>
    <w:r w:rsidRPr="002A1AAA">
      <w:rPr>
        <w:rFonts w:ascii="Times New Roman" w:hAnsi="Times New Roman" w:cs="Times New Roman"/>
      </w:rPr>
      <w:tab/>
    </w:r>
    <w:r w:rsidRPr="002A1AAA">
      <w:rPr>
        <w:rFonts w:ascii="Times New Roman" w:hAnsi="Times New Roman" w:cs="Times New Roman"/>
      </w:rPr>
      <w:tab/>
      <w:t>___________________</w:t>
    </w:r>
  </w:p>
  <w:p w14:paraId="5AED2029" w14:textId="77777777" w:rsidR="000D3056" w:rsidRPr="004D1268" w:rsidRDefault="00074473">
    <w:pPr>
      <w:pStyle w:val="ad"/>
      <w:rPr>
        <w:rFonts w:ascii="Times New Roman" w:hAnsi="Times New Roman" w:cs="Times New Roman"/>
        <w:sz w:val="16"/>
        <w:szCs w:val="16"/>
        <w:lang w:val="uk-UA"/>
      </w:rPr>
    </w:pPr>
    <w:r w:rsidRPr="002A1AAA">
      <w:rPr>
        <w:rFonts w:ascii="Times New Roman" w:hAnsi="Times New Roman" w:cs="Times New Roman"/>
        <w:sz w:val="16"/>
        <w:szCs w:val="16"/>
        <w:lang w:val="uk-UA"/>
      </w:rPr>
      <w:t>м.п.                    (підпис)                                                                                                                                             м.п.                    (підпис)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EF25" w14:textId="77777777" w:rsidR="008E7DC7" w:rsidRDefault="008E7DC7" w:rsidP="002A7626">
      <w:pPr>
        <w:spacing w:after="0" w:line="240" w:lineRule="auto"/>
      </w:pPr>
      <w:r>
        <w:separator/>
      </w:r>
    </w:p>
  </w:footnote>
  <w:footnote w:type="continuationSeparator" w:id="0">
    <w:p w14:paraId="57284064" w14:textId="77777777" w:rsidR="008E7DC7" w:rsidRDefault="008E7DC7" w:rsidP="002A7626">
      <w:pPr>
        <w:spacing w:after="0" w:line="240" w:lineRule="auto"/>
      </w:pPr>
      <w:r>
        <w:continuationSeparator/>
      </w:r>
    </w:p>
  </w:footnote>
  <w:footnote w:type="continuationNotice" w:id="1">
    <w:p w14:paraId="7CD99543" w14:textId="77777777" w:rsidR="008E7DC7" w:rsidRDefault="008E7D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BA4"/>
    <w:multiLevelType w:val="hybridMultilevel"/>
    <w:tmpl w:val="698C89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219F"/>
    <w:multiLevelType w:val="multilevel"/>
    <w:tmpl w:val="22904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794571"/>
    <w:multiLevelType w:val="hybridMultilevel"/>
    <w:tmpl w:val="C162800A"/>
    <w:lvl w:ilvl="0" w:tplc="EA5C6374">
      <w:numFmt w:val="bullet"/>
      <w:lvlText w:val="-"/>
      <w:lvlJc w:val="left"/>
      <w:pPr>
        <w:ind w:left="8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CF16328"/>
    <w:multiLevelType w:val="hybridMultilevel"/>
    <w:tmpl w:val="6AA228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A6904"/>
    <w:multiLevelType w:val="hybridMultilevel"/>
    <w:tmpl w:val="F048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26FC8"/>
    <w:multiLevelType w:val="hybridMultilevel"/>
    <w:tmpl w:val="CEF067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425C0"/>
    <w:multiLevelType w:val="hybridMultilevel"/>
    <w:tmpl w:val="799269D0"/>
    <w:lvl w:ilvl="0" w:tplc="D680AB2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37603"/>
    <w:multiLevelType w:val="hybridMultilevel"/>
    <w:tmpl w:val="A29E26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B012B"/>
    <w:multiLevelType w:val="hybridMultilevel"/>
    <w:tmpl w:val="27D0C54E"/>
    <w:lvl w:ilvl="0" w:tplc="96B63B5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4383E"/>
    <w:multiLevelType w:val="hybridMultilevel"/>
    <w:tmpl w:val="94504FFE"/>
    <w:lvl w:ilvl="0" w:tplc="3078E3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D3B2B"/>
    <w:multiLevelType w:val="hybridMultilevel"/>
    <w:tmpl w:val="232461EE"/>
    <w:lvl w:ilvl="0" w:tplc="2CB8048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40" w:hanging="360"/>
      </w:pPr>
    </w:lvl>
    <w:lvl w:ilvl="2" w:tplc="2000001B" w:tentative="1">
      <w:start w:val="1"/>
      <w:numFmt w:val="lowerRoman"/>
      <w:lvlText w:val="%3."/>
      <w:lvlJc w:val="right"/>
      <w:pPr>
        <w:ind w:left="2260" w:hanging="180"/>
      </w:pPr>
    </w:lvl>
    <w:lvl w:ilvl="3" w:tplc="2000000F" w:tentative="1">
      <w:start w:val="1"/>
      <w:numFmt w:val="decimal"/>
      <w:lvlText w:val="%4."/>
      <w:lvlJc w:val="left"/>
      <w:pPr>
        <w:ind w:left="2980" w:hanging="360"/>
      </w:pPr>
    </w:lvl>
    <w:lvl w:ilvl="4" w:tplc="20000019" w:tentative="1">
      <w:start w:val="1"/>
      <w:numFmt w:val="lowerLetter"/>
      <w:lvlText w:val="%5."/>
      <w:lvlJc w:val="left"/>
      <w:pPr>
        <w:ind w:left="3700" w:hanging="360"/>
      </w:pPr>
    </w:lvl>
    <w:lvl w:ilvl="5" w:tplc="2000001B" w:tentative="1">
      <w:start w:val="1"/>
      <w:numFmt w:val="lowerRoman"/>
      <w:lvlText w:val="%6."/>
      <w:lvlJc w:val="right"/>
      <w:pPr>
        <w:ind w:left="4420" w:hanging="180"/>
      </w:pPr>
    </w:lvl>
    <w:lvl w:ilvl="6" w:tplc="2000000F" w:tentative="1">
      <w:start w:val="1"/>
      <w:numFmt w:val="decimal"/>
      <w:lvlText w:val="%7."/>
      <w:lvlJc w:val="left"/>
      <w:pPr>
        <w:ind w:left="5140" w:hanging="360"/>
      </w:pPr>
    </w:lvl>
    <w:lvl w:ilvl="7" w:tplc="20000019" w:tentative="1">
      <w:start w:val="1"/>
      <w:numFmt w:val="lowerLetter"/>
      <w:lvlText w:val="%8."/>
      <w:lvlJc w:val="left"/>
      <w:pPr>
        <w:ind w:left="5860" w:hanging="360"/>
      </w:pPr>
    </w:lvl>
    <w:lvl w:ilvl="8" w:tplc="200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586F6119"/>
    <w:multiLevelType w:val="hybridMultilevel"/>
    <w:tmpl w:val="0AD00DE4"/>
    <w:lvl w:ilvl="0" w:tplc="2F4CF4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AB4009"/>
    <w:multiLevelType w:val="hybridMultilevel"/>
    <w:tmpl w:val="BD60C0E0"/>
    <w:lvl w:ilvl="0" w:tplc="59CEB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16F30"/>
    <w:multiLevelType w:val="hybridMultilevel"/>
    <w:tmpl w:val="25987F60"/>
    <w:lvl w:ilvl="0" w:tplc="2E1C3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83EC3"/>
    <w:multiLevelType w:val="hybridMultilevel"/>
    <w:tmpl w:val="494085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B2E26"/>
    <w:multiLevelType w:val="hybridMultilevel"/>
    <w:tmpl w:val="6AF26094"/>
    <w:lvl w:ilvl="0" w:tplc="0422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7D655DCD"/>
    <w:multiLevelType w:val="hybridMultilevel"/>
    <w:tmpl w:val="A16AE14A"/>
    <w:lvl w:ilvl="0" w:tplc="970E6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AED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02FD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945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C4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B8D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89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6D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587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"/>
  </w:num>
  <w:num w:numId="5">
    <w:abstractNumId w:val="15"/>
  </w:num>
  <w:num w:numId="6">
    <w:abstractNumId w:val="6"/>
  </w:num>
  <w:num w:numId="7">
    <w:abstractNumId w:val="2"/>
  </w:num>
  <w:num w:numId="8">
    <w:abstractNumId w:val="12"/>
  </w:num>
  <w:num w:numId="9">
    <w:abstractNumId w:val="11"/>
  </w:num>
  <w:num w:numId="10">
    <w:abstractNumId w:val="16"/>
  </w:num>
  <w:num w:numId="11">
    <w:abstractNumId w:val="1"/>
  </w:num>
  <w:num w:numId="12">
    <w:abstractNumId w:val="9"/>
  </w:num>
  <w:num w:numId="13">
    <w:abstractNumId w:val="10"/>
  </w:num>
  <w:num w:numId="14">
    <w:abstractNumId w:val="0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F8"/>
    <w:rsid w:val="00000874"/>
    <w:rsid w:val="000016DF"/>
    <w:rsid w:val="00002244"/>
    <w:rsid w:val="00003B16"/>
    <w:rsid w:val="0000432B"/>
    <w:rsid w:val="0001113E"/>
    <w:rsid w:val="00020F28"/>
    <w:rsid w:val="00027CBD"/>
    <w:rsid w:val="00044449"/>
    <w:rsid w:val="00045F81"/>
    <w:rsid w:val="000511FE"/>
    <w:rsid w:val="0005194C"/>
    <w:rsid w:val="00054E19"/>
    <w:rsid w:val="0006238A"/>
    <w:rsid w:val="00071E82"/>
    <w:rsid w:val="00074473"/>
    <w:rsid w:val="00080C83"/>
    <w:rsid w:val="0008366C"/>
    <w:rsid w:val="000879B5"/>
    <w:rsid w:val="0009772D"/>
    <w:rsid w:val="0009778C"/>
    <w:rsid w:val="000A3259"/>
    <w:rsid w:val="000A692F"/>
    <w:rsid w:val="000B1C53"/>
    <w:rsid w:val="000C274A"/>
    <w:rsid w:val="000C6B08"/>
    <w:rsid w:val="000C7A66"/>
    <w:rsid w:val="000D3056"/>
    <w:rsid w:val="000D48DE"/>
    <w:rsid w:val="000D6CAF"/>
    <w:rsid w:val="000E1C71"/>
    <w:rsid w:val="000F7560"/>
    <w:rsid w:val="00111337"/>
    <w:rsid w:val="001161B7"/>
    <w:rsid w:val="0011636A"/>
    <w:rsid w:val="001225B1"/>
    <w:rsid w:val="001252BB"/>
    <w:rsid w:val="00125A59"/>
    <w:rsid w:val="00126239"/>
    <w:rsid w:val="00131664"/>
    <w:rsid w:val="001329E8"/>
    <w:rsid w:val="00146636"/>
    <w:rsid w:val="0015416A"/>
    <w:rsid w:val="00154516"/>
    <w:rsid w:val="00160E3F"/>
    <w:rsid w:val="001647A5"/>
    <w:rsid w:val="00166C7F"/>
    <w:rsid w:val="001A524B"/>
    <w:rsid w:val="001A68F0"/>
    <w:rsid w:val="001C5738"/>
    <w:rsid w:val="001E68ED"/>
    <w:rsid w:val="001F5754"/>
    <w:rsid w:val="002039E9"/>
    <w:rsid w:val="002120B6"/>
    <w:rsid w:val="00217D5C"/>
    <w:rsid w:val="00220D74"/>
    <w:rsid w:val="00224925"/>
    <w:rsid w:val="00233941"/>
    <w:rsid w:val="002366FA"/>
    <w:rsid w:val="00244468"/>
    <w:rsid w:val="00254D02"/>
    <w:rsid w:val="002556DB"/>
    <w:rsid w:val="00265FCD"/>
    <w:rsid w:val="00277A2D"/>
    <w:rsid w:val="00282637"/>
    <w:rsid w:val="00290D6F"/>
    <w:rsid w:val="00290FFF"/>
    <w:rsid w:val="002933CB"/>
    <w:rsid w:val="0029368B"/>
    <w:rsid w:val="00294666"/>
    <w:rsid w:val="00296A3A"/>
    <w:rsid w:val="002A7626"/>
    <w:rsid w:val="002B62DA"/>
    <w:rsid w:val="002D6A84"/>
    <w:rsid w:val="002E5583"/>
    <w:rsid w:val="002E5B8B"/>
    <w:rsid w:val="002F24B3"/>
    <w:rsid w:val="002F3AA3"/>
    <w:rsid w:val="003000FC"/>
    <w:rsid w:val="003005FC"/>
    <w:rsid w:val="00301407"/>
    <w:rsid w:val="00324310"/>
    <w:rsid w:val="00326351"/>
    <w:rsid w:val="003303CA"/>
    <w:rsid w:val="00331EB1"/>
    <w:rsid w:val="0033618F"/>
    <w:rsid w:val="003406AA"/>
    <w:rsid w:val="00340797"/>
    <w:rsid w:val="003532A3"/>
    <w:rsid w:val="00356D33"/>
    <w:rsid w:val="00363DD2"/>
    <w:rsid w:val="00365B30"/>
    <w:rsid w:val="00370792"/>
    <w:rsid w:val="003756A5"/>
    <w:rsid w:val="00377268"/>
    <w:rsid w:val="0038154C"/>
    <w:rsid w:val="00382AF1"/>
    <w:rsid w:val="003855F0"/>
    <w:rsid w:val="00386D4F"/>
    <w:rsid w:val="00395027"/>
    <w:rsid w:val="003964ED"/>
    <w:rsid w:val="003A0164"/>
    <w:rsid w:val="003A17C8"/>
    <w:rsid w:val="003A7C12"/>
    <w:rsid w:val="003B17C0"/>
    <w:rsid w:val="003B2A2B"/>
    <w:rsid w:val="003C69C6"/>
    <w:rsid w:val="003D77CB"/>
    <w:rsid w:val="003E1884"/>
    <w:rsid w:val="003E35B0"/>
    <w:rsid w:val="003E40C0"/>
    <w:rsid w:val="003F0598"/>
    <w:rsid w:val="00401BE0"/>
    <w:rsid w:val="0040702D"/>
    <w:rsid w:val="00410F67"/>
    <w:rsid w:val="00421D6C"/>
    <w:rsid w:val="00431784"/>
    <w:rsid w:val="00432814"/>
    <w:rsid w:val="004444D0"/>
    <w:rsid w:val="004445BA"/>
    <w:rsid w:val="0045279E"/>
    <w:rsid w:val="00453053"/>
    <w:rsid w:val="00455CB1"/>
    <w:rsid w:val="004576C3"/>
    <w:rsid w:val="0046185B"/>
    <w:rsid w:val="00480B5C"/>
    <w:rsid w:val="00480DB6"/>
    <w:rsid w:val="00486461"/>
    <w:rsid w:val="00490A4F"/>
    <w:rsid w:val="00493BF2"/>
    <w:rsid w:val="004A1063"/>
    <w:rsid w:val="004A204B"/>
    <w:rsid w:val="004A2628"/>
    <w:rsid w:val="004B073A"/>
    <w:rsid w:val="004B1868"/>
    <w:rsid w:val="004B2969"/>
    <w:rsid w:val="004B30EE"/>
    <w:rsid w:val="004B555A"/>
    <w:rsid w:val="004B60CC"/>
    <w:rsid w:val="004B6F53"/>
    <w:rsid w:val="004C110C"/>
    <w:rsid w:val="004C2711"/>
    <w:rsid w:val="004C372C"/>
    <w:rsid w:val="004C386B"/>
    <w:rsid w:val="004C45ED"/>
    <w:rsid w:val="004D1268"/>
    <w:rsid w:val="004D14CC"/>
    <w:rsid w:val="004D2CDD"/>
    <w:rsid w:val="004D2CF8"/>
    <w:rsid w:val="004D3966"/>
    <w:rsid w:val="004E25D4"/>
    <w:rsid w:val="004E2A9E"/>
    <w:rsid w:val="004F40A4"/>
    <w:rsid w:val="00500021"/>
    <w:rsid w:val="00501CA2"/>
    <w:rsid w:val="00502694"/>
    <w:rsid w:val="00535D9C"/>
    <w:rsid w:val="00535F52"/>
    <w:rsid w:val="005510E6"/>
    <w:rsid w:val="005702C1"/>
    <w:rsid w:val="005738C6"/>
    <w:rsid w:val="005740FB"/>
    <w:rsid w:val="00574196"/>
    <w:rsid w:val="00575EBC"/>
    <w:rsid w:val="0057737D"/>
    <w:rsid w:val="005819B1"/>
    <w:rsid w:val="00582469"/>
    <w:rsid w:val="00586437"/>
    <w:rsid w:val="005869E8"/>
    <w:rsid w:val="00592D2B"/>
    <w:rsid w:val="00594F36"/>
    <w:rsid w:val="005A1294"/>
    <w:rsid w:val="005A3E4F"/>
    <w:rsid w:val="005B7465"/>
    <w:rsid w:val="005B7840"/>
    <w:rsid w:val="005C58B4"/>
    <w:rsid w:val="005D5543"/>
    <w:rsid w:val="005F7811"/>
    <w:rsid w:val="00610814"/>
    <w:rsid w:val="00613965"/>
    <w:rsid w:val="00632194"/>
    <w:rsid w:val="0063498B"/>
    <w:rsid w:val="0063739A"/>
    <w:rsid w:val="00644699"/>
    <w:rsid w:val="006457A3"/>
    <w:rsid w:val="0064608A"/>
    <w:rsid w:val="00646262"/>
    <w:rsid w:val="00646478"/>
    <w:rsid w:val="00647DD5"/>
    <w:rsid w:val="00647F10"/>
    <w:rsid w:val="00653284"/>
    <w:rsid w:val="00665011"/>
    <w:rsid w:val="006723F2"/>
    <w:rsid w:val="006725FE"/>
    <w:rsid w:val="006812D5"/>
    <w:rsid w:val="0068163A"/>
    <w:rsid w:val="00683A12"/>
    <w:rsid w:val="00687E09"/>
    <w:rsid w:val="0069125D"/>
    <w:rsid w:val="006945AF"/>
    <w:rsid w:val="006950A4"/>
    <w:rsid w:val="006C0F1F"/>
    <w:rsid w:val="006C3D07"/>
    <w:rsid w:val="006C4B25"/>
    <w:rsid w:val="006D056B"/>
    <w:rsid w:val="006D654D"/>
    <w:rsid w:val="006D6B0B"/>
    <w:rsid w:val="006E45FA"/>
    <w:rsid w:val="006E5692"/>
    <w:rsid w:val="00700134"/>
    <w:rsid w:val="00707770"/>
    <w:rsid w:val="00721321"/>
    <w:rsid w:val="00730EAE"/>
    <w:rsid w:val="00735492"/>
    <w:rsid w:val="00740F6E"/>
    <w:rsid w:val="00753852"/>
    <w:rsid w:val="007553C7"/>
    <w:rsid w:val="0076037F"/>
    <w:rsid w:val="00765147"/>
    <w:rsid w:val="0076555C"/>
    <w:rsid w:val="00791D3C"/>
    <w:rsid w:val="00795863"/>
    <w:rsid w:val="007A249F"/>
    <w:rsid w:val="007A62FD"/>
    <w:rsid w:val="007A7F74"/>
    <w:rsid w:val="007B206D"/>
    <w:rsid w:val="007B2E1E"/>
    <w:rsid w:val="007B413E"/>
    <w:rsid w:val="007C11BD"/>
    <w:rsid w:val="007C75A1"/>
    <w:rsid w:val="007D0004"/>
    <w:rsid w:val="007D07B8"/>
    <w:rsid w:val="007D502C"/>
    <w:rsid w:val="007E1942"/>
    <w:rsid w:val="007E2F8B"/>
    <w:rsid w:val="007F195A"/>
    <w:rsid w:val="008005FB"/>
    <w:rsid w:val="00801935"/>
    <w:rsid w:val="00801F13"/>
    <w:rsid w:val="00804C49"/>
    <w:rsid w:val="0082028F"/>
    <w:rsid w:val="008228E9"/>
    <w:rsid w:val="008316A6"/>
    <w:rsid w:val="00832346"/>
    <w:rsid w:val="00856323"/>
    <w:rsid w:val="008611F7"/>
    <w:rsid w:val="008614F3"/>
    <w:rsid w:val="0087030E"/>
    <w:rsid w:val="008706DE"/>
    <w:rsid w:val="00875916"/>
    <w:rsid w:val="0088015E"/>
    <w:rsid w:val="008807D7"/>
    <w:rsid w:val="00884CA1"/>
    <w:rsid w:val="0089116C"/>
    <w:rsid w:val="00891976"/>
    <w:rsid w:val="008A2105"/>
    <w:rsid w:val="008A541C"/>
    <w:rsid w:val="008B54B8"/>
    <w:rsid w:val="008B5BF7"/>
    <w:rsid w:val="008B6ABA"/>
    <w:rsid w:val="008B6C42"/>
    <w:rsid w:val="008B7C07"/>
    <w:rsid w:val="008C3FB1"/>
    <w:rsid w:val="008D0584"/>
    <w:rsid w:val="008D358D"/>
    <w:rsid w:val="008D4700"/>
    <w:rsid w:val="008D545D"/>
    <w:rsid w:val="008E7DC7"/>
    <w:rsid w:val="008F10AD"/>
    <w:rsid w:val="008F3AA4"/>
    <w:rsid w:val="008F406F"/>
    <w:rsid w:val="008F5287"/>
    <w:rsid w:val="008F626F"/>
    <w:rsid w:val="009042B0"/>
    <w:rsid w:val="00904988"/>
    <w:rsid w:val="00904A93"/>
    <w:rsid w:val="00906FC8"/>
    <w:rsid w:val="009078C4"/>
    <w:rsid w:val="009101C4"/>
    <w:rsid w:val="00912EDF"/>
    <w:rsid w:val="009156D9"/>
    <w:rsid w:val="00920A2D"/>
    <w:rsid w:val="00924B55"/>
    <w:rsid w:val="00926775"/>
    <w:rsid w:val="009312CB"/>
    <w:rsid w:val="0093279E"/>
    <w:rsid w:val="0093285E"/>
    <w:rsid w:val="00951DAA"/>
    <w:rsid w:val="00952E4A"/>
    <w:rsid w:val="00953E07"/>
    <w:rsid w:val="00962B8E"/>
    <w:rsid w:val="00964BE1"/>
    <w:rsid w:val="00966101"/>
    <w:rsid w:val="009729DD"/>
    <w:rsid w:val="00974A8A"/>
    <w:rsid w:val="00976752"/>
    <w:rsid w:val="0098546F"/>
    <w:rsid w:val="00987CFD"/>
    <w:rsid w:val="00993BB0"/>
    <w:rsid w:val="00997CC0"/>
    <w:rsid w:val="009A0659"/>
    <w:rsid w:val="009A51CF"/>
    <w:rsid w:val="009C1145"/>
    <w:rsid w:val="009D0BD7"/>
    <w:rsid w:val="009D16BC"/>
    <w:rsid w:val="009D5095"/>
    <w:rsid w:val="009E761D"/>
    <w:rsid w:val="009F2245"/>
    <w:rsid w:val="009F54D4"/>
    <w:rsid w:val="00A01EB6"/>
    <w:rsid w:val="00A07777"/>
    <w:rsid w:val="00A101D7"/>
    <w:rsid w:val="00A15004"/>
    <w:rsid w:val="00A17616"/>
    <w:rsid w:val="00A22E95"/>
    <w:rsid w:val="00A37797"/>
    <w:rsid w:val="00A405D5"/>
    <w:rsid w:val="00A427CB"/>
    <w:rsid w:val="00A4455F"/>
    <w:rsid w:val="00A478BA"/>
    <w:rsid w:val="00A47A74"/>
    <w:rsid w:val="00A47BA8"/>
    <w:rsid w:val="00A520D3"/>
    <w:rsid w:val="00A777D4"/>
    <w:rsid w:val="00A80C6E"/>
    <w:rsid w:val="00A856A9"/>
    <w:rsid w:val="00A90907"/>
    <w:rsid w:val="00A91A6F"/>
    <w:rsid w:val="00A97403"/>
    <w:rsid w:val="00AB1058"/>
    <w:rsid w:val="00AB6A74"/>
    <w:rsid w:val="00AC07FD"/>
    <w:rsid w:val="00AC487C"/>
    <w:rsid w:val="00AC770B"/>
    <w:rsid w:val="00AD1DE7"/>
    <w:rsid w:val="00AD20C7"/>
    <w:rsid w:val="00AD27E8"/>
    <w:rsid w:val="00AD68C3"/>
    <w:rsid w:val="00AD7BC7"/>
    <w:rsid w:val="00AE2023"/>
    <w:rsid w:val="00AE2141"/>
    <w:rsid w:val="00AE277E"/>
    <w:rsid w:val="00AE465C"/>
    <w:rsid w:val="00AE49F0"/>
    <w:rsid w:val="00AF4247"/>
    <w:rsid w:val="00AF5441"/>
    <w:rsid w:val="00AF554C"/>
    <w:rsid w:val="00B050F1"/>
    <w:rsid w:val="00B051D4"/>
    <w:rsid w:val="00B07A1A"/>
    <w:rsid w:val="00B10F56"/>
    <w:rsid w:val="00B176CE"/>
    <w:rsid w:val="00B259E2"/>
    <w:rsid w:val="00B25F40"/>
    <w:rsid w:val="00B31E1F"/>
    <w:rsid w:val="00B3451C"/>
    <w:rsid w:val="00B35580"/>
    <w:rsid w:val="00B4491E"/>
    <w:rsid w:val="00B45A31"/>
    <w:rsid w:val="00B463FC"/>
    <w:rsid w:val="00B504E4"/>
    <w:rsid w:val="00B540C7"/>
    <w:rsid w:val="00B565EE"/>
    <w:rsid w:val="00B61B0B"/>
    <w:rsid w:val="00B72D2B"/>
    <w:rsid w:val="00B74FFC"/>
    <w:rsid w:val="00B7776A"/>
    <w:rsid w:val="00B95426"/>
    <w:rsid w:val="00BB2902"/>
    <w:rsid w:val="00BB70BD"/>
    <w:rsid w:val="00BC1BAB"/>
    <w:rsid w:val="00BD1F9D"/>
    <w:rsid w:val="00BD4265"/>
    <w:rsid w:val="00BE18D8"/>
    <w:rsid w:val="00BE3064"/>
    <w:rsid w:val="00BE53B6"/>
    <w:rsid w:val="00BF116A"/>
    <w:rsid w:val="00C01492"/>
    <w:rsid w:val="00C04441"/>
    <w:rsid w:val="00C12F18"/>
    <w:rsid w:val="00C14752"/>
    <w:rsid w:val="00C1749B"/>
    <w:rsid w:val="00C310C1"/>
    <w:rsid w:val="00C32CBE"/>
    <w:rsid w:val="00C3501F"/>
    <w:rsid w:val="00C37AC2"/>
    <w:rsid w:val="00C42009"/>
    <w:rsid w:val="00C475D7"/>
    <w:rsid w:val="00C53F0B"/>
    <w:rsid w:val="00C55DA6"/>
    <w:rsid w:val="00C56EE3"/>
    <w:rsid w:val="00C6129A"/>
    <w:rsid w:val="00C61ECC"/>
    <w:rsid w:val="00C62E84"/>
    <w:rsid w:val="00C73BA1"/>
    <w:rsid w:val="00C74567"/>
    <w:rsid w:val="00C75CA9"/>
    <w:rsid w:val="00C82AF0"/>
    <w:rsid w:val="00C858D8"/>
    <w:rsid w:val="00C86E1D"/>
    <w:rsid w:val="00CA364E"/>
    <w:rsid w:val="00CB158A"/>
    <w:rsid w:val="00CB2B7E"/>
    <w:rsid w:val="00CB4310"/>
    <w:rsid w:val="00CC156F"/>
    <w:rsid w:val="00CD4FE4"/>
    <w:rsid w:val="00CD7896"/>
    <w:rsid w:val="00CD7BF9"/>
    <w:rsid w:val="00CF2B32"/>
    <w:rsid w:val="00CF34E5"/>
    <w:rsid w:val="00CF7E84"/>
    <w:rsid w:val="00D00199"/>
    <w:rsid w:val="00D034B1"/>
    <w:rsid w:val="00D03C5B"/>
    <w:rsid w:val="00D0473A"/>
    <w:rsid w:val="00D0607F"/>
    <w:rsid w:val="00D06B78"/>
    <w:rsid w:val="00D07EB5"/>
    <w:rsid w:val="00D140B5"/>
    <w:rsid w:val="00D14A8C"/>
    <w:rsid w:val="00D150ED"/>
    <w:rsid w:val="00D16D1E"/>
    <w:rsid w:val="00D3144B"/>
    <w:rsid w:val="00D356CB"/>
    <w:rsid w:val="00D35C5C"/>
    <w:rsid w:val="00D41F3C"/>
    <w:rsid w:val="00D45A5C"/>
    <w:rsid w:val="00D4730F"/>
    <w:rsid w:val="00D50DD9"/>
    <w:rsid w:val="00D5371C"/>
    <w:rsid w:val="00D6794B"/>
    <w:rsid w:val="00D7233A"/>
    <w:rsid w:val="00D7340C"/>
    <w:rsid w:val="00D74C1C"/>
    <w:rsid w:val="00D810BE"/>
    <w:rsid w:val="00D81803"/>
    <w:rsid w:val="00D851A0"/>
    <w:rsid w:val="00D911D1"/>
    <w:rsid w:val="00D93FB2"/>
    <w:rsid w:val="00DA4242"/>
    <w:rsid w:val="00DA5E50"/>
    <w:rsid w:val="00DB224A"/>
    <w:rsid w:val="00DB3D34"/>
    <w:rsid w:val="00DB5A36"/>
    <w:rsid w:val="00DC3245"/>
    <w:rsid w:val="00DD1A39"/>
    <w:rsid w:val="00DD50C1"/>
    <w:rsid w:val="00DD5505"/>
    <w:rsid w:val="00DD6550"/>
    <w:rsid w:val="00DD7667"/>
    <w:rsid w:val="00E0557C"/>
    <w:rsid w:val="00E1040D"/>
    <w:rsid w:val="00E1158A"/>
    <w:rsid w:val="00E1203B"/>
    <w:rsid w:val="00E14585"/>
    <w:rsid w:val="00E209C8"/>
    <w:rsid w:val="00E312FE"/>
    <w:rsid w:val="00E43083"/>
    <w:rsid w:val="00E43512"/>
    <w:rsid w:val="00E4573A"/>
    <w:rsid w:val="00E52D3E"/>
    <w:rsid w:val="00E57538"/>
    <w:rsid w:val="00E6510E"/>
    <w:rsid w:val="00E665AE"/>
    <w:rsid w:val="00E71A47"/>
    <w:rsid w:val="00E744F4"/>
    <w:rsid w:val="00E8669E"/>
    <w:rsid w:val="00EA02B0"/>
    <w:rsid w:val="00EA2B70"/>
    <w:rsid w:val="00EA5B0A"/>
    <w:rsid w:val="00EB00C3"/>
    <w:rsid w:val="00EB48F1"/>
    <w:rsid w:val="00EB6173"/>
    <w:rsid w:val="00ED40B7"/>
    <w:rsid w:val="00EF2B00"/>
    <w:rsid w:val="00EF3323"/>
    <w:rsid w:val="00EF36AA"/>
    <w:rsid w:val="00EF60FC"/>
    <w:rsid w:val="00EF68F8"/>
    <w:rsid w:val="00EF6E5F"/>
    <w:rsid w:val="00F02026"/>
    <w:rsid w:val="00F042F2"/>
    <w:rsid w:val="00F11542"/>
    <w:rsid w:val="00F163D5"/>
    <w:rsid w:val="00F16531"/>
    <w:rsid w:val="00F16AFA"/>
    <w:rsid w:val="00F173A9"/>
    <w:rsid w:val="00F22910"/>
    <w:rsid w:val="00F27161"/>
    <w:rsid w:val="00F302BE"/>
    <w:rsid w:val="00F31F9B"/>
    <w:rsid w:val="00F35BC1"/>
    <w:rsid w:val="00F361D9"/>
    <w:rsid w:val="00F374FF"/>
    <w:rsid w:val="00F37D2F"/>
    <w:rsid w:val="00F414E5"/>
    <w:rsid w:val="00F45B6B"/>
    <w:rsid w:val="00F469C1"/>
    <w:rsid w:val="00F50FD5"/>
    <w:rsid w:val="00F5143B"/>
    <w:rsid w:val="00F54FF4"/>
    <w:rsid w:val="00F55009"/>
    <w:rsid w:val="00F611E8"/>
    <w:rsid w:val="00F6260E"/>
    <w:rsid w:val="00F64B42"/>
    <w:rsid w:val="00F65D44"/>
    <w:rsid w:val="00F67FA5"/>
    <w:rsid w:val="00F85A29"/>
    <w:rsid w:val="00F87820"/>
    <w:rsid w:val="00F87C0C"/>
    <w:rsid w:val="00FA4961"/>
    <w:rsid w:val="00FA5F3B"/>
    <w:rsid w:val="00FA62C7"/>
    <w:rsid w:val="00FB08C8"/>
    <w:rsid w:val="00FB369E"/>
    <w:rsid w:val="00FC1EC8"/>
    <w:rsid w:val="00FC6C59"/>
    <w:rsid w:val="00FD5F07"/>
    <w:rsid w:val="00FD7C51"/>
    <w:rsid w:val="00FE3501"/>
    <w:rsid w:val="00FE6824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52D2"/>
  <w15:docId w15:val="{0863BC14-56E0-40E1-B8BA-CDDA06EA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039E9"/>
    <w:rPr>
      <w:rFonts w:ascii="TimesNewRomanPS-BoldMT" w:hAnsi="TimesNewRomanPS-BoldMT" w:hint="default"/>
      <w:b/>
      <w:bCs/>
      <w:i w:val="0"/>
      <w:iCs w:val="0"/>
      <w:color w:val="212121"/>
      <w:sz w:val="26"/>
      <w:szCs w:val="26"/>
    </w:rPr>
  </w:style>
  <w:style w:type="character" w:customStyle="1" w:styleId="fontstyle21">
    <w:name w:val="fontstyle21"/>
    <w:basedOn w:val="a0"/>
    <w:rsid w:val="002039E9"/>
    <w:rPr>
      <w:rFonts w:ascii="TimesNewRomanPSMT" w:hAnsi="TimesNewRomanPSMT" w:hint="default"/>
      <w:b w:val="0"/>
      <w:bCs w:val="0"/>
      <w:i w:val="0"/>
      <w:iCs w:val="0"/>
      <w:color w:val="212121"/>
      <w:sz w:val="26"/>
      <w:szCs w:val="26"/>
    </w:rPr>
  </w:style>
  <w:style w:type="paragraph" w:styleId="a3">
    <w:name w:val="No Spacing"/>
    <w:uiPriority w:val="1"/>
    <w:qFormat/>
    <w:rsid w:val="002039E9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4">
    <w:name w:val="Table Grid"/>
    <w:basedOn w:val="a1"/>
    <w:uiPriority w:val="59"/>
    <w:rsid w:val="0020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039E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312F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8546F"/>
    <w:rPr>
      <w:color w:val="954F72" w:themeColor="followedHyperlink"/>
      <w:u w:val="single"/>
    </w:rPr>
  </w:style>
  <w:style w:type="paragraph" w:styleId="a8">
    <w:name w:val="Body Text"/>
    <w:basedOn w:val="a"/>
    <w:link w:val="a9"/>
    <w:uiPriority w:val="99"/>
    <w:unhideWhenUsed/>
    <w:rsid w:val="0063498B"/>
    <w:pPr>
      <w:jc w:val="both"/>
    </w:pPr>
    <w:rPr>
      <w:color w:val="000000"/>
      <w:sz w:val="24"/>
      <w:szCs w:val="24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63498B"/>
    <w:rPr>
      <w:color w:val="000000"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88015E"/>
    <w:pPr>
      <w:tabs>
        <w:tab w:val="left" w:pos="1080"/>
      </w:tabs>
      <w:spacing w:after="0" w:line="240" w:lineRule="auto"/>
      <w:jc w:val="both"/>
    </w:pPr>
    <w:rPr>
      <w:rFonts w:ascii="Times New Roman" w:hAnsi="Times New Roman" w:cs="Times New Roman"/>
      <w:color w:val="222222"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88015E"/>
    <w:rPr>
      <w:rFonts w:ascii="Times New Roman" w:hAnsi="Times New Roman" w:cs="Times New Roman"/>
      <w:color w:val="222222"/>
      <w:sz w:val="24"/>
      <w:szCs w:val="24"/>
      <w:lang w:val="uk-UA"/>
    </w:rPr>
  </w:style>
  <w:style w:type="character" w:styleId="aa">
    <w:name w:val="line number"/>
    <w:basedOn w:val="a0"/>
    <w:uiPriority w:val="99"/>
    <w:semiHidden/>
    <w:unhideWhenUsed/>
    <w:rsid w:val="002A7626"/>
  </w:style>
  <w:style w:type="paragraph" w:styleId="ab">
    <w:name w:val="header"/>
    <w:basedOn w:val="a"/>
    <w:link w:val="ac"/>
    <w:uiPriority w:val="99"/>
    <w:unhideWhenUsed/>
    <w:rsid w:val="002A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7626"/>
  </w:style>
  <w:style w:type="paragraph" w:styleId="ad">
    <w:name w:val="footer"/>
    <w:basedOn w:val="a"/>
    <w:link w:val="ae"/>
    <w:uiPriority w:val="99"/>
    <w:unhideWhenUsed/>
    <w:rsid w:val="002A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7626"/>
  </w:style>
  <w:style w:type="paragraph" w:styleId="af">
    <w:name w:val="Balloon Text"/>
    <w:basedOn w:val="a"/>
    <w:link w:val="af0"/>
    <w:uiPriority w:val="99"/>
    <w:semiHidden/>
    <w:unhideWhenUsed/>
    <w:rsid w:val="00EA5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5B0A"/>
    <w:rPr>
      <w:rFonts w:ascii="Segoe UI" w:hAnsi="Segoe UI" w:cs="Segoe UI"/>
      <w:sz w:val="18"/>
      <w:szCs w:val="18"/>
    </w:rPr>
  </w:style>
  <w:style w:type="character" w:styleId="af1">
    <w:name w:val="Strong"/>
    <w:basedOn w:val="a0"/>
    <w:uiPriority w:val="22"/>
    <w:qFormat/>
    <w:rsid w:val="00E209C8"/>
    <w:rPr>
      <w:b/>
      <w:bCs/>
    </w:rPr>
  </w:style>
  <w:style w:type="paragraph" w:styleId="af2">
    <w:name w:val="Normal (Web)"/>
    <w:basedOn w:val="a"/>
    <w:uiPriority w:val="99"/>
    <w:unhideWhenUsed/>
    <w:rsid w:val="00E2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99"/>
    <w:rsid w:val="00C1749B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font8">
    <w:name w:val="font_8"/>
    <w:basedOn w:val="a"/>
    <w:rsid w:val="007E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annotation reference"/>
    <w:basedOn w:val="a0"/>
    <w:uiPriority w:val="99"/>
    <w:semiHidden/>
    <w:unhideWhenUsed/>
    <w:rsid w:val="00A9740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9740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9740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9740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97403"/>
    <w:rPr>
      <w:b/>
      <w:bCs/>
      <w:sz w:val="20"/>
      <w:szCs w:val="20"/>
    </w:rPr>
  </w:style>
  <w:style w:type="character" w:styleId="af8">
    <w:name w:val="Unresolved Mention"/>
    <w:basedOn w:val="a0"/>
    <w:uiPriority w:val="99"/>
    <w:semiHidden/>
    <w:unhideWhenUsed/>
    <w:rsid w:val="00AB6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e.com.ua/index.php/pricectr" TargetMode="External"/><Relationship Id="rId13" Type="http://schemas.openxmlformats.org/officeDocument/2006/relationships/hyperlink" Target="mailto:tech@solipower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ree.com.ua/index.php/pricec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e.com.ua/index.php/pricec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rc.gov.ua/?id=37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rc.gov.ua/?id=5197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C416D-8653-4B36-B771-6A8F0487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Links>
    <vt:vector size="36" baseType="variant">
      <vt:variant>
        <vt:i4>3604566</vt:i4>
      </vt:variant>
      <vt:variant>
        <vt:i4>15</vt:i4>
      </vt:variant>
      <vt:variant>
        <vt:i4>0</vt:i4>
      </vt:variant>
      <vt:variant>
        <vt:i4>5</vt:i4>
      </vt:variant>
      <vt:variant>
        <vt:lpwstr>mailto:tech@solipower.com.ua</vt:lpwstr>
      </vt:variant>
      <vt:variant>
        <vt:lpwstr/>
      </vt:variant>
      <vt:variant>
        <vt:i4>6881337</vt:i4>
      </vt:variant>
      <vt:variant>
        <vt:i4>12</vt:i4>
      </vt:variant>
      <vt:variant>
        <vt:i4>0</vt:i4>
      </vt:variant>
      <vt:variant>
        <vt:i4>5</vt:i4>
      </vt:variant>
      <vt:variant>
        <vt:lpwstr>https://www.oree.com.ua/index.php/pricectr</vt:lpwstr>
      </vt:variant>
      <vt:variant>
        <vt:lpwstr/>
      </vt:variant>
      <vt:variant>
        <vt:i4>6881337</vt:i4>
      </vt:variant>
      <vt:variant>
        <vt:i4>9</vt:i4>
      </vt:variant>
      <vt:variant>
        <vt:i4>0</vt:i4>
      </vt:variant>
      <vt:variant>
        <vt:i4>5</vt:i4>
      </vt:variant>
      <vt:variant>
        <vt:lpwstr>https://www.oree.com.ua/index.php/pricectr</vt:lpwstr>
      </vt:variant>
      <vt:variant>
        <vt:lpwstr/>
      </vt:variant>
      <vt:variant>
        <vt:i4>5570630</vt:i4>
      </vt:variant>
      <vt:variant>
        <vt:i4>6</vt:i4>
      </vt:variant>
      <vt:variant>
        <vt:i4>0</vt:i4>
      </vt:variant>
      <vt:variant>
        <vt:i4>5</vt:i4>
      </vt:variant>
      <vt:variant>
        <vt:lpwstr>http://www.nerc.gov.ua/?id=37480</vt:lpwstr>
      </vt:variant>
      <vt:variant>
        <vt:lpwstr/>
      </vt:variant>
      <vt:variant>
        <vt:i4>5701637</vt:i4>
      </vt:variant>
      <vt:variant>
        <vt:i4>3</vt:i4>
      </vt:variant>
      <vt:variant>
        <vt:i4>0</vt:i4>
      </vt:variant>
      <vt:variant>
        <vt:i4>5</vt:i4>
      </vt:variant>
      <vt:variant>
        <vt:lpwstr>https://www.nerc.gov.ua/?id=51970</vt:lpwstr>
      </vt:variant>
      <vt:variant>
        <vt:lpwstr/>
      </vt:variant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https://www.oree.com.ua/index.php/pricectr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O</dc:creator>
  <cp:keywords/>
  <cp:lastModifiedBy>Яна Яценко</cp:lastModifiedBy>
  <cp:revision>46</cp:revision>
  <cp:lastPrinted>2019-05-29T01:05:00Z</cp:lastPrinted>
  <dcterms:created xsi:type="dcterms:W3CDTF">2021-11-05T08:49:00Z</dcterms:created>
  <dcterms:modified xsi:type="dcterms:W3CDTF">2022-01-18T15:55:00Z</dcterms:modified>
</cp:coreProperties>
</file>